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3CD4D" w14:textId="77777777" w:rsidR="00D11425" w:rsidRPr="00D11425" w:rsidRDefault="00D11425" w:rsidP="00D11425">
      <w:pPr>
        <w:spacing w:line="276" w:lineRule="auto"/>
        <w:ind w:left="567" w:hanging="567"/>
        <w:jc w:val="both"/>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 xml:space="preserve">a) </w:t>
      </w:r>
      <w:r w:rsidRPr="00D11425">
        <w:rPr>
          <w:rFonts w:ascii="Noto Sans" w:eastAsia="Times New Roman" w:hAnsi="Noto Sans" w:cs="Noto Sans"/>
          <w:b/>
          <w:bCs/>
          <w:sz w:val="20"/>
          <w:szCs w:val="20"/>
          <w:lang w:val="es-MX" w:eastAsia="es-MX"/>
        </w:rPr>
        <w:tab/>
        <w:t>Vigencia de la contratación.</w:t>
      </w:r>
    </w:p>
    <w:p w14:paraId="70E7D192" w14:textId="77777777" w:rsidR="00D11425" w:rsidRPr="00D11425" w:rsidRDefault="00D11425" w:rsidP="00D11425">
      <w:pPr>
        <w:tabs>
          <w:tab w:val="left" w:pos="8080"/>
        </w:tabs>
        <w:spacing w:line="276" w:lineRule="auto"/>
        <w:jc w:val="both"/>
        <w:rPr>
          <w:rFonts w:ascii="Noto Sans" w:eastAsia="Times New Roman" w:hAnsi="Noto Sans" w:cs="Noto Sans"/>
          <w:sz w:val="20"/>
          <w:szCs w:val="20"/>
          <w:lang w:val="es-MX" w:eastAsia="es-MX"/>
        </w:rPr>
      </w:pPr>
    </w:p>
    <w:p w14:paraId="085FBCA3" w14:textId="32ED382E" w:rsidR="00D11425" w:rsidRPr="00D11425" w:rsidRDefault="00D11425" w:rsidP="00D11425">
      <w:pPr>
        <w:tabs>
          <w:tab w:val="left" w:pos="8080"/>
        </w:tabs>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 xml:space="preserve">La vigencia del servicio iniciará a partir del día natural siguiente a la notificación de la adjudicación y hasta el 31 de diciembre de </w:t>
      </w:r>
      <w:r w:rsidR="004F4F07">
        <w:rPr>
          <w:rFonts w:ascii="Noto Sans" w:eastAsia="Times New Roman" w:hAnsi="Noto Sans" w:cs="Noto Sans"/>
          <w:sz w:val="20"/>
          <w:szCs w:val="20"/>
          <w:lang w:val="es-MX" w:eastAsia="es-MX"/>
        </w:rPr>
        <w:t>2026</w:t>
      </w:r>
      <w:r w:rsidRPr="00D11425">
        <w:rPr>
          <w:rFonts w:ascii="Noto Sans" w:eastAsia="Times New Roman" w:hAnsi="Noto Sans" w:cs="Noto Sans"/>
          <w:sz w:val="20"/>
          <w:szCs w:val="20"/>
          <w:lang w:val="es-MX" w:eastAsia="es-MX"/>
        </w:rPr>
        <w:t>.</w:t>
      </w:r>
    </w:p>
    <w:p w14:paraId="5BD47096" w14:textId="77777777" w:rsidR="00D11425" w:rsidRPr="00D11425" w:rsidRDefault="00D11425" w:rsidP="00D11425">
      <w:pPr>
        <w:spacing w:line="276" w:lineRule="auto"/>
        <w:jc w:val="both"/>
        <w:rPr>
          <w:rFonts w:ascii="Noto Sans" w:eastAsia="Times New Roman" w:hAnsi="Noto Sans" w:cs="Noto Sans"/>
          <w:b/>
          <w:bCs/>
          <w:sz w:val="20"/>
          <w:szCs w:val="20"/>
          <w:lang w:val="es-MX" w:eastAsia="es-MX"/>
        </w:rPr>
      </w:pPr>
    </w:p>
    <w:p w14:paraId="7FF00D3E" w14:textId="77777777" w:rsidR="00D11425" w:rsidRPr="00D11425" w:rsidRDefault="00D11425" w:rsidP="00D11425">
      <w:pPr>
        <w:spacing w:line="276" w:lineRule="auto"/>
        <w:ind w:left="567" w:hanging="567"/>
        <w:jc w:val="both"/>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 xml:space="preserve">b) </w:t>
      </w:r>
      <w:r w:rsidRPr="00D11425">
        <w:rPr>
          <w:rFonts w:ascii="Noto Sans" w:eastAsia="Times New Roman" w:hAnsi="Noto Sans" w:cs="Noto Sans"/>
          <w:b/>
          <w:bCs/>
          <w:sz w:val="20"/>
          <w:szCs w:val="20"/>
          <w:lang w:val="es-MX" w:eastAsia="es-MX"/>
        </w:rPr>
        <w:tab/>
        <w:t>Plazo y programas de entrega.</w:t>
      </w:r>
    </w:p>
    <w:p w14:paraId="37391329" w14:textId="77777777" w:rsidR="00D11425" w:rsidRPr="00D11425" w:rsidRDefault="00D11425" w:rsidP="00D11425">
      <w:pPr>
        <w:spacing w:line="276" w:lineRule="auto"/>
        <w:jc w:val="both"/>
        <w:rPr>
          <w:rFonts w:ascii="Noto Sans" w:eastAsia="Times New Roman" w:hAnsi="Noto Sans" w:cs="Noto Sans"/>
          <w:b/>
          <w:bCs/>
          <w:sz w:val="20"/>
          <w:szCs w:val="20"/>
          <w:lang w:val="es-MX" w:eastAsia="es-MX"/>
        </w:rPr>
      </w:pPr>
    </w:p>
    <w:p w14:paraId="23A0EDAE" w14:textId="77777777" w:rsidR="00D11425" w:rsidRPr="00D11425" w:rsidRDefault="00D11425" w:rsidP="00D11425">
      <w:pPr>
        <w:spacing w:line="276" w:lineRule="auto"/>
        <w:jc w:val="both"/>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Plazo de Entrega</w:t>
      </w:r>
    </w:p>
    <w:p w14:paraId="6FCAE142" w14:textId="77777777" w:rsidR="00D11425" w:rsidRPr="00D11425" w:rsidRDefault="00D11425" w:rsidP="00D11425">
      <w:pPr>
        <w:spacing w:line="276" w:lineRule="auto"/>
        <w:jc w:val="both"/>
        <w:rPr>
          <w:rFonts w:ascii="Noto Sans" w:eastAsia="Times New Roman" w:hAnsi="Noto Sans" w:cs="Noto Sans"/>
          <w:b/>
          <w:bCs/>
          <w:sz w:val="20"/>
          <w:szCs w:val="20"/>
          <w:lang w:val="es-MX" w:eastAsia="es-MX"/>
        </w:rPr>
      </w:pPr>
    </w:p>
    <w:p w14:paraId="553091E4" w14:textId="47430393"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 xml:space="preserve">La prestación del servicio iniciará a partir del día natural siguiente a la notificación de la adjudicación y hasta el 31 de diciembre de </w:t>
      </w:r>
      <w:r w:rsidR="004F4F07">
        <w:rPr>
          <w:rFonts w:ascii="Noto Sans" w:eastAsia="Times New Roman" w:hAnsi="Noto Sans" w:cs="Noto Sans"/>
          <w:sz w:val="20"/>
          <w:szCs w:val="20"/>
          <w:lang w:val="es-MX" w:eastAsia="es-MX"/>
        </w:rPr>
        <w:t>2026</w:t>
      </w:r>
      <w:r w:rsidRPr="00D11425">
        <w:rPr>
          <w:rFonts w:ascii="Noto Sans" w:eastAsia="Times New Roman" w:hAnsi="Noto Sans" w:cs="Noto Sans"/>
          <w:sz w:val="20"/>
          <w:szCs w:val="20"/>
          <w:lang w:val="es-MX" w:eastAsia="es-MX"/>
        </w:rPr>
        <w:t>.</w:t>
      </w:r>
    </w:p>
    <w:p w14:paraId="4359CDD7"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673A8E2A"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El Proveedor, a fin de acreditar el cumplimiento de sus obligaciones contractuales, se obliga a entregar los documentos y testigos derivados de la orden de servicio para su revisión dentro de los cinco días hábiles posteriores al vencimiento de dicha orden, así mismo, deberá dar cumplimiento al plazo de cinco días hábiles para el ingreso de documentos a trámite de pago de acuerdo con lo establecido en el inciso K (forma de pago) de este documento de términos y condiciones.</w:t>
      </w:r>
    </w:p>
    <w:p w14:paraId="4C6CD206"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05C2182F"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servicio con la temporalidad que ésta determine, a fin de verificar el avance del cumplimiento de esta.</w:t>
      </w:r>
    </w:p>
    <w:p w14:paraId="02267B0D"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194B4923" w14:textId="4D8C193D"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 xml:space="preserve">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ANEXO TÉCNICO PARA LA PRESTACIÓN DEL SERVICIO DE DIFUSIÓN DE LAS CAMPAÑAS INSTITUCIONALES </w:t>
      </w:r>
      <w:r w:rsidR="004F4F07">
        <w:rPr>
          <w:rFonts w:ascii="Noto Sans" w:eastAsia="Times New Roman" w:hAnsi="Noto Sans" w:cs="Noto Sans"/>
          <w:sz w:val="20"/>
          <w:szCs w:val="20"/>
          <w:lang w:val="es-MX" w:eastAsia="es-MX"/>
        </w:rPr>
        <w:t>2026</w:t>
      </w:r>
      <w:r w:rsidRPr="00D11425">
        <w:rPr>
          <w:rFonts w:ascii="Noto Sans" w:eastAsia="Times New Roman" w:hAnsi="Noto Sans" w:cs="Noto Sans"/>
          <w:sz w:val="20"/>
          <w:szCs w:val="20"/>
          <w:lang w:val="es-MX" w:eastAsia="es-MX"/>
        </w:rPr>
        <w:t>, A TRAVÉS DE PUBLICIDAD EN MEDIOS COMPLEMENTARIOS ELECTRÓNICOS (PRESENCIA DE MARCA EN EVENTOS MASIVOS, SPOTEO EN PANTALLAS DIGITALES, SPOTS DE AUDIO EN ESPACIOS PÚBLICOS Y ANUNCIOS EN CONEXIONES DE DISPOSITIVO MÓVIL, ENTRE OTROS SIMILARES).</w:t>
      </w:r>
    </w:p>
    <w:p w14:paraId="78418C05" w14:textId="77777777" w:rsidR="00D11425" w:rsidRDefault="00D11425" w:rsidP="00D11425">
      <w:pPr>
        <w:spacing w:line="276" w:lineRule="auto"/>
        <w:jc w:val="both"/>
        <w:rPr>
          <w:rFonts w:ascii="Noto Sans" w:eastAsia="Times New Roman" w:hAnsi="Noto Sans" w:cs="Noto Sans"/>
          <w:b/>
          <w:bCs/>
          <w:sz w:val="20"/>
          <w:szCs w:val="20"/>
          <w:lang w:val="es-MX" w:eastAsia="es-MX"/>
        </w:rPr>
      </w:pPr>
    </w:p>
    <w:p w14:paraId="57BA22EF" w14:textId="77777777" w:rsidR="00D11425" w:rsidRDefault="00D11425" w:rsidP="00D11425">
      <w:pPr>
        <w:spacing w:line="276" w:lineRule="auto"/>
        <w:jc w:val="both"/>
        <w:rPr>
          <w:rFonts w:ascii="Noto Sans" w:eastAsia="Times New Roman" w:hAnsi="Noto Sans" w:cs="Noto Sans"/>
          <w:b/>
          <w:bCs/>
          <w:sz w:val="20"/>
          <w:szCs w:val="20"/>
          <w:lang w:val="es-MX" w:eastAsia="es-MX"/>
        </w:rPr>
      </w:pPr>
    </w:p>
    <w:p w14:paraId="6214BF7C" w14:textId="77777777" w:rsidR="00D11425" w:rsidRDefault="00D11425" w:rsidP="00D11425">
      <w:pPr>
        <w:spacing w:line="276" w:lineRule="auto"/>
        <w:jc w:val="both"/>
        <w:rPr>
          <w:rFonts w:ascii="Noto Sans" w:eastAsia="Times New Roman" w:hAnsi="Noto Sans" w:cs="Noto Sans"/>
          <w:b/>
          <w:bCs/>
          <w:sz w:val="20"/>
          <w:szCs w:val="20"/>
          <w:lang w:val="es-MX" w:eastAsia="es-MX"/>
        </w:rPr>
      </w:pPr>
    </w:p>
    <w:p w14:paraId="76D88500" w14:textId="77777777" w:rsidR="00D11425" w:rsidRDefault="00D11425" w:rsidP="00D11425">
      <w:pPr>
        <w:spacing w:line="276" w:lineRule="auto"/>
        <w:jc w:val="both"/>
        <w:rPr>
          <w:rFonts w:ascii="Noto Sans" w:eastAsia="Times New Roman" w:hAnsi="Noto Sans" w:cs="Noto Sans"/>
          <w:b/>
          <w:bCs/>
          <w:sz w:val="20"/>
          <w:szCs w:val="20"/>
          <w:lang w:val="es-MX" w:eastAsia="es-MX"/>
        </w:rPr>
      </w:pPr>
    </w:p>
    <w:p w14:paraId="05A59787" w14:textId="49CDB7D8" w:rsidR="00D11425" w:rsidRPr="00D11425" w:rsidRDefault="00D11425" w:rsidP="00D11425">
      <w:pPr>
        <w:spacing w:line="276" w:lineRule="auto"/>
        <w:jc w:val="both"/>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Programas de Entrega</w:t>
      </w:r>
    </w:p>
    <w:p w14:paraId="3148CC3B" w14:textId="2F3B2CC6"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 xml:space="preserve">Las entregas y el número de mensajes a difundir por cada medio se determinan en las órdenes de servicio que al efecto emita la Coordinación Técnica de Difusión a través del administrador del contrato, conforme se detallan en el ANEXO TÉCNICO PARA LA PRESTACIÓN DEL SERVICIO DE DIFUSIÓN DE LAS CAMPAÑAS INSTITUCIONALES </w:t>
      </w:r>
      <w:r w:rsidR="004F4F07">
        <w:rPr>
          <w:rFonts w:ascii="Noto Sans" w:eastAsia="Times New Roman" w:hAnsi="Noto Sans" w:cs="Noto Sans"/>
          <w:sz w:val="20"/>
          <w:szCs w:val="20"/>
          <w:lang w:val="es-MX" w:eastAsia="es-MX"/>
        </w:rPr>
        <w:t>2026</w:t>
      </w:r>
      <w:r w:rsidRPr="00D11425">
        <w:rPr>
          <w:rFonts w:ascii="Noto Sans" w:eastAsia="Times New Roman" w:hAnsi="Noto Sans" w:cs="Noto Sans"/>
          <w:sz w:val="20"/>
          <w:szCs w:val="20"/>
          <w:lang w:val="es-MX" w:eastAsia="es-MX"/>
        </w:rPr>
        <w:t>, A TRAVÉS DE PUBLICIDAD EN MEDIOS COMPLEMENTARIOS ELECTRÓNICOS (PRESENCIA DE MARCA EN EVENTOS MASIVOS, SPOTEO EN PANTALLAS DIGITALES, SPOTS DE AUDIO EN ESPACIOS PÚBLICOS Y ANUNCIOS EN CONEXIONES DE DISPOSITIVO MÓVIL, ENTRE OTROS SIMILARES).</w:t>
      </w:r>
    </w:p>
    <w:p w14:paraId="50CFCD6C"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4F0887D8" w14:textId="62E76D41"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 xml:space="preserve">La periodicidad de difusión de los mensajes se detalla igualmente en las órdenes de servicio, a que se hacen referencia en el ANEXO TÉCNICO PARA LA PRESTACIÓN DEL SERVICIO DE DIFUSIÓN DE LAS CAMPAÑAS INSTITUCIONALES </w:t>
      </w:r>
      <w:r w:rsidR="004F4F07">
        <w:rPr>
          <w:rFonts w:ascii="Noto Sans" w:eastAsia="Times New Roman" w:hAnsi="Noto Sans" w:cs="Noto Sans"/>
          <w:sz w:val="20"/>
          <w:szCs w:val="20"/>
          <w:lang w:val="es-MX" w:eastAsia="es-MX"/>
        </w:rPr>
        <w:t>2026</w:t>
      </w:r>
      <w:r w:rsidRPr="00D11425">
        <w:rPr>
          <w:rFonts w:ascii="Noto Sans" w:eastAsia="Times New Roman" w:hAnsi="Noto Sans" w:cs="Noto Sans"/>
          <w:sz w:val="20"/>
          <w:szCs w:val="20"/>
          <w:lang w:val="es-MX" w:eastAsia="es-MX"/>
        </w:rPr>
        <w:t>, A TRAVÉS DE PUBLICIDAD EN MEDIOS COMPLEMENTARIOS ELECTRÓNICOS (PRESENCIA DE MARCA EN EVENTOS MASIVOS, SPOTEO EN PANTALLAS DIGITALES, SPOTS DE AUDIO EN ESPACIOS PÚBLICOS Y ANUNCIOS EN CONEXIONES DE DISPOSITIVO MÓVIL, ENTRE OTROS SIMILARES).</w:t>
      </w:r>
    </w:p>
    <w:p w14:paraId="15503A9E" w14:textId="77777777" w:rsidR="00D11425" w:rsidRPr="00D11425" w:rsidRDefault="00D11425" w:rsidP="00D11425">
      <w:pPr>
        <w:spacing w:line="276" w:lineRule="auto"/>
        <w:jc w:val="both"/>
        <w:rPr>
          <w:rFonts w:ascii="Noto Sans" w:eastAsia="Times New Roman" w:hAnsi="Noto Sans" w:cs="Noto Sans"/>
          <w:b/>
          <w:bCs/>
          <w:sz w:val="20"/>
          <w:szCs w:val="20"/>
          <w:lang w:val="es-MX" w:eastAsia="es-MX"/>
        </w:rPr>
      </w:pPr>
    </w:p>
    <w:p w14:paraId="0D73DE57" w14:textId="77777777" w:rsidR="00B016E8" w:rsidRPr="00D63CDD" w:rsidRDefault="00B016E8" w:rsidP="002A3AE2">
      <w:pPr>
        <w:spacing w:line="276" w:lineRule="auto"/>
        <w:ind w:left="705" w:hanging="705"/>
        <w:jc w:val="both"/>
        <w:rPr>
          <w:rFonts w:ascii="Noto Sans" w:hAnsi="Noto Sans" w:cs="Noto Sans"/>
          <w:sz w:val="21"/>
          <w:szCs w:val="21"/>
          <w:lang w:val="es-MX"/>
        </w:rPr>
      </w:pPr>
      <w:r w:rsidRPr="00D63CDD">
        <w:rPr>
          <w:rFonts w:ascii="Noto Sans" w:hAnsi="Noto Sans" w:cs="Noto Sans"/>
          <w:b/>
          <w:bCs/>
          <w:sz w:val="21"/>
          <w:szCs w:val="21"/>
          <w:lang w:val="es-MX"/>
        </w:rPr>
        <w:t xml:space="preserve">c) </w:t>
      </w:r>
      <w:r w:rsidRPr="00D63CDD">
        <w:rPr>
          <w:rFonts w:ascii="Noto Sans" w:hAnsi="Noto Sans" w:cs="Noto Sans"/>
          <w:b/>
          <w:bCs/>
          <w:sz w:val="21"/>
          <w:szCs w:val="21"/>
          <w:lang w:val="es-MX"/>
        </w:rPr>
        <w:tab/>
        <w:t>Mecanismo de evaluación de proposiciones.</w:t>
      </w:r>
      <w:r w:rsidRPr="00D63CDD">
        <w:rPr>
          <w:rFonts w:ascii="Noto Sans" w:hAnsi="Noto Sans" w:cs="Noto Sans"/>
          <w:sz w:val="21"/>
          <w:szCs w:val="21"/>
          <w:lang w:val="es-MX"/>
        </w:rPr>
        <w:t xml:space="preserve"> Criterio </w:t>
      </w:r>
      <w:r w:rsidRPr="00D63CDD">
        <w:rPr>
          <w:rFonts w:ascii="Noto Sans" w:hAnsi="Noto Sans" w:cs="Noto Sans"/>
          <w:b/>
          <w:bCs/>
          <w:sz w:val="21"/>
          <w:szCs w:val="21"/>
          <w:lang w:val="es-MX"/>
        </w:rPr>
        <w:t>binario</w:t>
      </w:r>
      <w:r w:rsidRPr="00D63CDD">
        <w:rPr>
          <w:rFonts w:ascii="Noto Sans" w:hAnsi="Noto Sans" w:cs="Noto Sans"/>
          <w:sz w:val="21"/>
          <w:szCs w:val="21"/>
          <w:lang w:val="es-MX"/>
        </w:rPr>
        <w:t xml:space="preserve">, con fundamento en el </w:t>
      </w:r>
      <w:r w:rsidRPr="00751093">
        <w:rPr>
          <w:rFonts w:ascii="Noto Sans" w:hAnsi="Noto Sans" w:cs="Noto Sans"/>
          <w:sz w:val="21"/>
          <w:szCs w:val="21"/>
          <w:lang w:val="es-MX"/>
        </w:rPr>
        <w:t>artículo 47 segundo párrafo de la LAASSP.</w:t>
      </w:r>
    </w:p>
    <w:p w14:paraId="3125675A" w14:textId="77777777" w:rsidR="00B016E8" w:rsidRPr="00D63CDD" w:rsidRDefault="00B016E8" w:rsidP="00A479CF">
      <w:pPr>
        <w:spacing w:line="276" w:lineRule="auto"/>
        <w:jc w:val="both"/>
        <w:rPr>
          <w:rFonts w:ascii="Noto Sans" w:hAnsi="Noto Sans" w:cs="Noto Sans"/>
          <w:sz w:val="21"/>
          <w:szCs w:val="21"/>
          <w:lang w:val="es-MX"/>
        </w:rPr>
      </w:pPr>
    </w:p>
    <w:p w14:paraId="02FAC6EF" w14:textId="23FE9766" w:rsidR="00B016E8" w:rsidRPr="00D63CDD" w:rsidRDefault="00B016E8" w:rsidP="002A3AE2">
      <w:pPr>
        <w:spacing w:line="276" w:lineRule="auto"/>
        <w:ind w:left="705" w:hanging="705"/>
        <w:jc w:val="both"/>
        <w:rPr>
          <w:rFonts w:ascii="Noto Sans" w:hAnsi="Noto Sans" w:cs="Noto Sans"/>
          <w:b/>
          <w:bCs/>
          <w:sz w:val="21"/>
          <w:szCs w:val="21"/>
          <w:lang w:val="es-MX"/>
        </w:rPr>
      </w:pPr>
      <w:r w:rsidRPr="00D63CDD">
        <w:rPr>
          <w:rFonts w:ascii="Noto Sans" w:hAnsi="Noto Sans" w:cs="Noto Sans"/>
          <w:b/>
          <w:bCs/>
          <w:sz w:val="21"/>
          <w:szCs w:val="21"/>
          <w:lang w:val="es-MX"/>
        </w:rPr>
        <w:t xml:space="preserve">d) </w:t>
      </w:r>
      <w:r w:rsidRPr="00D63CDD">
        <w:rPr>
          <w:rFonts w:ascii="Noto Sans" w:hAnsi="Noto Sans" w:cs="Noto Sans"/>
          <w:b/>
          <w:bCs/>
          <w:sz w:val="21"/>
          <w:szCs w:val="21"/>
          <w:lang w:val="es-MX"/>
        </w:rPr>
        <w:tab/>
        <w:t xml:space="preserve">Licencias, permisos, registros, certificados o autorizaciones. </w:t>
      </w:r>
      <w:r w:rsidRPr="00D63CDD">
        <w:rPr>
          <w:rFonts w:ascii="Noto Sans" w:hAnsi="Noto Sans" w:cs="Noto Sans"/>
          <w:sz w:val="21"/>
          <w:szCs w:val="21"/>
          <w:lang w:val="es-MX"/>
        </w:rPr>
        <w:t xml:space="preserve">- El proveedor deberá adjuntar los documentos con los que acredite la titularidad o el licenciamiento exclusivo de los espacios publicitarios de los medios de comunicación que se utilizarán para la prestación del servicio de difusión de las campañas institucionales </w:t>
      </w:r>
      <w:r w:rsidR="004F4F07">
        <w:rPr>
          <w:rFonts w:ascii="Noto Sans" w:hAnsi="Noto Sans" w:cs="Noto Sans"/>
          <w:sz w:val="21"/>
          <w:szCs w:val="21"/>
          <w:lang w:val="es-MX"/>
        </w:rPr>
        <w:t>2026</w:t>
      </w:r>
      <w:r w:rsidRPr="00D63CDD">
        <w:rPr>
          <w:rFonts w:ascii="Noto Sans" w:hAnsi="Noto Sans" w:cs="Noto Sans"/>
          <w:sz w:val="21"/>
          <w:szCs w:val="21"/>
          <w:lang w:val="es-MX"/>
        </w:rPr>
        <w:t>.</w:t>
      </w:r>
    </w:p>
    <w:p w14:paraId="69AE6D21" w14:textId="77777777" w:rsidR="00B016E8" w:rsidRPr="00D32AC0" w:rsidRDefault="00B016E8" w:rsidP="00A479CF">
      <w:pPr>
        <w:spacing w:line="276" w:lineRule="auto"/>
        <w:jc w:val="both"/>
        <w:rPr>
          <w:rFonts w:ascii="Noto Sans" w:hAnsi="Noto Sans" w:cs="Noto Sans"/>
          <w:b/>
          <w:bCs/>
          <w:sz w:val="21"/>
          <w:szCs w:val="21"/>
          <w:lang w:val="es-MX"/>
        </w:rPr>
      </w:pPr>
    </w:p>
    <w:p w14:paraId="639D6E92" w14:textId="5BE84ECE" w:rsidR="00B016E8" w:rsidRPr="00D32AC0" w:rsidRDefault="00B016E8" w:rsidP="002A3AE2">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e) </w:t>
      </w:r>
      <w:r w:rsidR="002A3AE2">
        <w:rPr>
          <w:rFonts w:ascii="Noto Sans" w:hAnsi="Noto Sans" w:cs="Noto Sans"/>
          <w:b/>
          <w:bCs/>
          <w:sz w:val="21"/>
          <w:szCs w:val="21"/>
          <w:lang w:val="es-MX"/>
        </w:rPr>
        <w:tab/>
      </w:r>
      <w:r w:rsidRPr="00D32AC0">
        <w:rPr>
          <w:rFonts w:ascii="Noto Sans" w:hAnsi="Noto Sans" w:cs="Noto Sans"/>
          <w:b/>
          <w:bCs/>
          <w:sz w:val="21"/>
          <w:szCs w:val="21"/>
          <w:lang w:val="es-MX"/>
        </w:rPr>
        <w:t xml:space="preserve">Documentación técnica necesaria como pueden ser: folletos, catálogos, fotografías, manuales entre otros, en caso de que se requieran para comprobar sus especificaciones. </w:t>
      </w:r>
      <w:r w:rsidRPr="00D63CDD">
        <w:rPr>
          <w:rFonts w:ascii="Noto Sans" w:hAnsi="Noto Sans" w:cs="Noto Sans"/>
          <w:sz w:val="21"/>
          <w:szCs w:val="21"/>
          <w:lang w:val="es-MX"/>
        </w:rPr>
        <w:t>No aplica.</w:t>
      </w:r>
    </w:p>
    <w:p w14:paraId="29A7B0E1" w14:textId="77777777" w:rsidR="00B016E8" w:rsidRPr="00D32AC0" w:rsidRDefault="00B016E8" w:rsidP="00A479CF">
      <w:pPr>
        <w:spacing w:line="276" w:lineRule="auto"/>
        <w:jc w:val="both"/>
        <w:rPr>
          <w:rFonts w:ascii="Noto Sans" w:hAnsi="Noto Sans" w:cs="Noto Sans"/>
          <w:b/>
          <w:bCs/>
          <w:sz w:val="21"/>
          <w:szCs w:val="21"/>
          <w:lang w:val="es-MX"/>
        </w:rPr>
      </w:pPr>
    </w:p>
    <w:p w14:paraId="2139796A" w14:textId="7A241052" w:rsidR="00B016E8" w:rsidRPr="00D32AC0" w:rsidRDefault="00B016E8" w:rsidP="002A3AE2">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f) </w:t>
      </w:r>
      <w:r w:rsidR="002A3AE2">
        <w:rPr>
          <w:rFonts w:ascii="Noto Sans" w:hAnsi="Noto Sans" w:cs="Noto Sans"/>
          <w:b/>
          <w:bCs/>
          <w:sz w:val="21"/>
          <w:szCs w:val="21"/>
          <w:lang w:val="es-MX"/>
        </w:rPr>
        <w:tab/>
      </w:r>
      <w:r w:rsidRPr="00D32AC0">
        <w:rPr>
          <w:rFonts w:ascii="Noto Sans" w:hAnsi="Noto Sans" w:cs="Noto Sans"/>
          <w:b/>
          <w:bCs/>
          <w:sz w:val="21"/>
          <w:szCs w:val="21"/>
          <w:lang w:val="es-MX"/>
        </w:rPr>
        <w:t xml:space="preserve">Visitas a las instalaciones institucionales, donde se suministrarán o colocarán los bienes o donde se prestarán los servicios, en su caso. </w:t>
      </w:r>
      <w:r w:rsidRPr="00D63CDD">
        <w:rPr>
          <w:rFonts w:ascii="Noto Sans" w:hAnsi="Noto Sans" w:cs="Noto Sans"/>
          <w:sz w:val="21"/>
          <w:szCs w:val="21"/>
          <w:lang w:val="es-MX"/>
        </w:rPr>
        <w:t>No aplica.</w:t>
      </w:r>
    </w:p>
    <w:p w14:paraId="34F38A89" w14:textId="77777777" w:rsidR="00B016E8" w:rsidRPr="00D32AC0" w:rsidRDefault="00B016E8" w:rsidP="00A479CF">
      <w:pPr>
        <w:spacing w:line="276" w:lineRule="auto"/>
        <w:jc w:val="both"/>
        <w:rPr>
          <w:rFonts w:ascii="Noto Sans" w:hAnsi="Noto Sans" w:cs="Noto Sans"/>
          <w:b/>
          <w:bCs/>
          <w:sz w:val="21"/>
          <w:szCs w:val="21"/>
          <w:lang w:val="es-MX"/>
        </w:rPr>
      </w:pPr>
    </w:p>
    <w:p w14:paraId="7E1677FE" w14:textId="549311AC" w:rsidR="00B016E8" w:rsidRPr="00D32AC0" w:rsidRDefault="00B016E8" w:rsidP="002A3AE2">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lastRenderedPageBreak/>
        <w:t xml:space="preserve">g) </w:t>
      </w:r>
      <w:r w:rsidR="002A3AE2">
        <w:rPr>
          <w:rFonts w:ascii="Noto Sans" w:hAnsi="Noto Sans" w:cs="Noto Sans"/>
          <w:b/>
          <w:bCs/>
          <w:sz w:val="21"/>
          <w:szCs w:val="21"/>
          <w:lang w:val="es-MX"/>
        </w:rPr>
        <w:tab/>
      </w:r>
      <w:r w:rsidRPr="00D32AC0">
        <w:rPr>
          <w:rFonts w:ascii="Noto Sans" w:hAnsi="Noto Sans" w:cs="Noto Sans"/>
          <w:b/>
          <w:bCs/>
          <w:sz w:val="21"/>
          <w:szCs w:val="21"/>
          <w:lang w:val="es-MX"/>
        </w:rPr>
        <w:t xml:space="preserve">Si se requiere efectuar visitas a las instalaciones de los licitantes. Se deberá precisar puntualmente, el objeto y el resultado que se espera obtener de la misma, a efecto de que se plasme en la convocatoria. </w:t>
      </w:r>
      <w:r w:rsidRPr="00D63CDD">
        <w:rPr>
          <w:rFonts w:ascii="Noto Sans" w:hAnsi="Noto Sans" w:cs="Noto Sans"/>
          <w:sz w:val="21"/>
          <w:szCs w:val="21"/>
          <w:lang w:val="es-MX"/>
        </w:rPr>
        <w:t>No aplica.</w:t>
      </w:r>
    </w:p>
    <w:p w14:paraId="6D6DF161" w14:textId="2919E54D" w:rsidR="00B016E8" w:rsidRPr="00D32AC0" w:rsidRDefault="00B016E8" w:rsidP="002A3AE2">
      <w:pPr>
        <w:spacing w:line="276" w:lineRule="auto"/>
        <w:ind w:left="705" w:hanging="705"/>
        <w:jc w:val="both"/>
        <w:rPr>
          <w:rFonts w:ascii="Noto Sans" w:hAnsi="Noto Sans" w:cs="Noto Sans"/>
          <w:b/>
          <w:bCs/>
          <w:sz w:val="21"/>
          <w:szCs w:val="21"/>
          <w:lang w:val="es-MX"/>
        </w:rPr>
      </w:pPr>
      <w:r w:rsidRPr="00D32AC0">
        <w:rPr>
          <w:rFonts w:ascii="Noto Sans" w:hAnsi="Noto Sans" w:cs="Noto Sans"/>
          <w:b/>
          <w:bCs/>
          <w:sz w:val="21"/>
          <w:szCs w:val="21"/>
          <w:lang w:val="es-MX"/>
        </w:rPr>
        <w:t xml:space="preserve">h) </w:t>
      </w:r>
      <w:r w:rsidR="002A3AE2">
        <w:rPr>
          <w:rFonts w:ascii="Noto Sans" w:hAnsi="Noto Sans" w:cs="Noto Sans"/>
          <w:b/>
          <w:bCs/>
          <w:sz w:val="21"/>
          <w:szCs w:val="21"/>
          <w:lang w:val="es-MX"/>
        </w:rPr>
        <w:tab/>
      </w:r>
      <w:r w:rsidRPr="00D32AC0">
        <w:rPr>
          <w:rFonts w:ascii="Noto Sans" w:hAnsi="Noto Sans" w:cs="Noto Sans"/>
          <w:b/>
          <w:bCs/>
          <w:sz w:val="21"/>
          <w:szCs w:val="21"/>
          <w:lang w:val="es-MX"/>
        </w:rPr>
        <w:t xml:space="preserve">Las penas convencionales y deducciones al pago de conformidad con lo dispuesto en el lineamiento 5.5.8 de las presentes POBALINES. </w:t>
      </w:r>
    </w:p>
    <w:p w14:paraId="6C0D88E7" w14:textId="77777777" w:rsidR="00B016E8" w:rsidRPr="00751093" w:rsidRDefault="00B016E8" w:rsidP="00A479CF">
      <w:pPr>
        <w:spacing w:line="276" w:lineRule="auto"/>
        <w:jc w:val="both"/>
        <w:rPr>
          <w:rFonts w:ascii="Noto Sans" w:hAnsi="Noto Sans" w:cs="Noto Sans"/>
          <w:b/>
          <w:bCs/>
          <w:sz w:val="21"/>
          <w:szCs w:val="21"/>
          <w:lang w:val="es-MX"/>
        </w:rPr>
      </w:pPr>
      <w:r w:rsidRPr="00751093">
        <w:rPr>
          <w:rFonts w:ascii="Noto Sans" w:hAnsi="Noto Sans" w:cs="Noto Sans"/>
          <w:b/>
          <w:bCs/>
          <w:sz w:val="21"/>
          <w:szCs w:val="21"/>
          <w:lang w:val="es-MX"/>
        </w:rPr>
        <w:t>h.1) Penas Convencionales </w:t>
      </w:r>
    </w:p>
    <w:p w14:paraId="549DF5D7" w14:textId="77777777" w:rsidR="00B016E8" w:rsidRPr="00751093" w:rsidRDefault="00B016E8" w:rsidP="00B016E8">
      <w:pPr>
        <w:spacing w:line="276" w:lineRule="auto"/>
        <w:jc w:val="both"/>
        <w:rPr>
          <w:rFonts w:ascii="Noto Sans" w:hAnsi="Noto Sans" w:cs="Noto Sans"/>
          <w:sz w:val="21"/>
          <w:szCs w:val="21"/>
          <w:lang w:val="es-MX"/>
        </w:rPr>
      </w:pPr>
      <w:r w:rsidRPr="00751093">
        <w:rPr>
          <w:rFonts w:ascii="Noto Sans" w:hAnsi="Noto Sans" w:cs="Noto Sans"/>
          <w:sz w:val="21"/>
          <w:szCs w:val="21"/>
          <w:lang w:val="es-MX"/>
        </w:rPr>
        <w:t>El administrador de los contratos será el responsable de calcular las penas convencionales señaladas en el numeral 5.5.8 y demás correlativos de las Políticas, Bases y Lineamientos en materia de Adquisiciones, Arrendamientos y Servicios del Instituto Mexicano del Seguro Social, en caso de atraso en la entrega de testigos. El monto de la pena ascenderá al 2.5% del monto de lo incumplido.</w:t>
      </w:r>
    </w:p>
    <w:p w14:paraId="50BB1531" w14:textId="77777777" w:rsidR="00B016E8" w:rsidRPr="00E319A5" w:rsidRDefault="00B016E8" w:rsidP="00B016E8">
      <w:pPr>
        <w:spacing w:line="276" w:lineRule="auto"/>
        <w:jc w:val="both"/>
        <w:rPr>
          <w:rFonts w:ascii="Geomanist" w:hAnsi="Geomanist"/>
          <w:color w:val="FF0000"/>
          <w:sz w:val="21"/>
          <w:szCs w:val="21"/>
          <w:lang w:val="es-MX"/>
        </w:rPr>
      </w:pPr>
    </w:p>
    <w:tbl>
      <w:tblPr>
        <w:tblStyle w:val="Tablaconcuadrcula"/>
        <w:tblW w:w="10485" w:type="dxa"/>
        <w:tblInd w:w="-829" w:type="dxa"/>
        <w:tblLook w:val="04A0" w:firstRow="1" w:lastRow="0" w:firstColumn="1" w:lastColumn="0" w:noHBand="0" w:noVBand="1"/>
      </w:tblPr>
      <w:tblGrid>
        <w:gridCol w:w="4316"/>
        <w:gridCol w:w="1279"/>
        <w:gridCol w:w="2644"/>
        <w:gridCol w:w="2246"/>
      </w:tblGrid>
      <w:tr w:rsidR="00D11425" w:rsidRPr="00D11425" w14:paraId="5D824836" w14:textId="77777777" w:rsidTr="00D11425">
        <w:trPr>
          <w:trHeight w:val="224"/>
        </w:trPr>
        <w:tc>
          <w:tcPr>
            <w:tcW w:w="4316" w:type="dxa"/>
            <w:hideMark/>
          </w:tcPr>
          <w:p w14:paraId="021062D9" w14:textId="77777777" w:rsidR="00D11425" w:rsidRPr="00D11425" w:rsidRDefault="00D11425" w:rsidP="00D11425">
            <w:pPr>
              <w:jc w:val="center"/>
              <w:rPr>
                <w:rFonts w:ascii="Noto Sans" w:eastAsia="Times New Roman" w:hAnsi="Noto Sans" w:cs="Noto Sans"/>
                <w:b/>
                <w:bCs/>
                <w:lang w:val="es-MX" w:eastAsia="es-MX"/>
              </w:rPr>
            </w:pPr>
            <w:r w:rsidRPr="00D11425">
              <w:rPr>
                <w:rFonts w:ascii="Noto Sans" w:eastAsia="Times New Roman" w:hAnsi="Noto Sans" w:cs="Noto Sans"/>
                <w:b/>
                <w:bCs/>
                <w:color w:val="000000"/>
                <w:sz w:val="18"/>
                <w:szCs w:val="18"/>
                <w:lang w:val="es-MX" w:eastAsia="es-MX"/>
              </w:rPr>
              <w:t>Producto</w:t>
            </w:r>
          </w:p>
        </w:tc>
        <w:tc>
          <w:tcPr>
            <w:tcW w:w="1279" w:type="dxa"/>
            <w:hideMark/>
          </w:tcPr>
          <w:p w14:paraId="49ACC6C5" w14:textId="77777777" w:rsidR="00D11425" w:rsidRPr="00D11425" w:rsidRDefault="00D11425" w:rsidP="00D11425">
            <w:pPr>
              <w:jc w:val="center"/>
              <w:rPr>
                <w:rFonts w:ascii="Noto Sans" w:eastAsia="Times New Roman" w:hAnsi="Noto Sans" w:cs="Noto Sans"/>
                <w:b/>
                <w:bCs/>
                <w:lang w:val="es-MX" w:eastAsia="es-MX"/>
              </w:rPr>
            </w:pPr>
            <w:r w:rsidRPr="00D11425">
              <w:rPr>
                <w:rFonts w:ascii="Noto Sans" w:eastAsia="Times New Roman" w:hAnsi="Noto Sans" w:cs="Noto Sans"/>
                <w:b/>
                <w:bCs/>
                <w:color w:val="000000"/>
                <w:sz w:val="18"/>
                <w:szCs w:val="18"/>
                <w:lang w:val="es-MX" w:eastAsia="es-MX"/>
              </w:rPr>
              <w:t>Horario</w:t>
            </w:r>
          </w:p>
        </w:tc>
        <w:tc>
          <w:tcPr>
            <w:tcW w:w="2644" w:type="dxa"/>
            <w:hideMark/>
          </w:tcPr>
          <w:p w14:paraId="0452464B" w14:textId="77777777" w:rsidR="00D11425" w:rsidRPr="00D11425" w:rsidRDefault="00D11425" w:rsidP="00D11425">
            <w:pPr>
              <w:jc w:val="center"/>
              <w:rPr>
                <w:rFonts w:ascii="Noto Sans" w:eastAsia="Times New Roman" w:hAnsi="Noto Sans" w:cs="Noto Sans"/>
                <w:b/>
                <w:bCs/>
                <w:lang w:val="es-MX" w:eastAsia="es-MX"/>
              </w:rPr>
            </w:pPr>
            <w:r w:rsidRPr="00D11425">
              <w:rPr>
                <w:rFonts w:ascii="Noto Sans" w:eastAsia="Times New Roman" w:hAnsi="Noto Sans" w:cs="Noto Sans"/>
                <w:b/>
                <w:bCs/>
                <w:color w:val="000000"/>
                <w:sz w:val="18"/>
                <w:szCs w:val="18"/>
                <w:lang w:val="es-MX" w:eastAsia="es-MX"/>
              </w:rPr>
              <w:t>Falta</w:t>
            </w:r>
          </w:p>
        </w:tc>
        <w:tc>
          <w:tcPr>
            <w:tcW w:w="2246" w:type="dxa"/>
            <w:hideMark/>
          </w:tcPr>
          <w:p w14:paraId="635F63BD" w14:textId="77777777" w:rsidR="00D11425" w:rsidRPr="00D11425" w:rsidRDefault="00D11425" w:rsidP="00D11425">
            <w:pPr>
              <w:jc w:val="center"/>
              <w:rPr>
                <w:rFonts w:ascii="Noto Sans" w:eastAsia="Times New Roman" w:hAnsi="Noto Sans" w:cs="Noto Sans"/>
                <w:b/>
                <w:bCs/>
                <w:lang w:val="es-MX" w:eastAsia="es-MX"/>
              </w:rPr>
            </w:pPr>
            <w:r w:rsidRPr="00D11425">
              <w:rPr>
                <w:rFonts w:ascii="Noto Sans" w:eastAsia="Times New Roman" w:hAnsi="Noto Sans" w:cs="Noto Sans"/>
                <w:b/>
                <w:bCs/>
                <w:color w:val="000000"/>
                <w:sz w:val="18"/>
                <w:szCs w:val="18"/>
                <w:lang w:val="es-MX" w:eastAsia="es-MX"/>
              </w:rPr>
              <w:t>Sanción</w:t>
            </w:r>
          </w:p>
        </w:tc>
      </w:tr>
      <w:tr w:rsidR="00D11425" w:rsidRPr="00D11425" w14:paraId="35A4E2A9" w14:textId="77777777" w:rsidTr="00D11425">
        <w:trPr>
          <w:trHeight w:val="1480"/>
        </w:trPr>
        <w:tc>
          <w:tcPr>
            <w:tcW w:w="0" w:type="auto"/>
            <w:hideMark/>
          </w:tcPr>
          <w:p w14:paraId="6A1937CD" w14:textId="77777777" w:rsidR="00D11425" w:rsidRPr="00D11425" w:rsidRDefault="00D11425" w:rsidP="00D11425">
            <w:pPr>
              <w:jc w:val="both"/>
              <w:rPr>
                <w:rFonts w:ascii="Noto Sans" w:eastAsia="Times New Roman" w:hAnsi="Noto Sans" w:cs="Noto Sans"/>
                <w:lang w:val="es-MX" w:eastAsia="es-MX"/>
              </w:rPr>
            </w:pPr>
            <w:r w:rsidRPr="00D11425">
              <w:rPr>
                <w:rFonts w:ascii="Noto Sans" w:eastAsia="Times New Roman" w:hAnsi="Noto Sans" w:cs="Noto Sans"/>
                <w:color w:val="000000"/>
                <w:sz w:val="16"/>
                <w:szCs w:val="16"/>
                <w:lang w:val="es-MX" w:eastAsia="es-MX"/>
              </w:rPr>
              <w:t>3.1 EL PROVEEDOR, a fin de acreditar el cumplimiento de sus obligaciones contractuales, se obliga a entregar los documentos y testigos derivados de la orden para su revisión dentro de los cinco días hábiles posteriores al vencimiento de las órdenes de servicio. (ANEXO TÉCNICO APARTADO 3.- Productos entregables).</w:t>
            </w:r>
          </w:p>
        </w:tc>
        <w:tc>
          <w:tcPr>
            <w:tcW w:w="0" w:type="auto"/>
            <w:hideMark/>
          </w:tcPr>
          <w:p w14:paraId="647E9ACC" w14:textId="77777777" w:rsidR="00D11425" w:rsidRPr="00D11425" w:rsidRDefault="00D11425" w:rsidP="00D11425">
            <w:pPr>
              <w:jc w:val="both"/>
              <w:rPr>
                <w:rFonts w:ascii="Noto Sans" w:eastAsia="Times New Roman" w:hAnsi="Noto Sans" w:cs="Noto Sans"/>
                <w:lang w:val="es-MX" w:eastAsia="es-MX"/>
              </w:rPr>
            </w:pPr>
            <w:r w:rsidRPr="00D11425">
              <w:rPr>
                <w:rFonts w:ascii="Noto Sans" w:eastAsia="Times New Roman" w:hAnsi="Noto Sans" w:cs="Noto Sans"/>
                <w:color w:val="000000"/>
                <w:sz w:val="16"/>
                <w:szCs w:val="16"/>
                <w:lang w:val="es-MX" w:eastAsia="es-MX"/>
              </w:rPr>
              <w:t>De lunes a viernes de las 9:00 a las 18:00 horas</w:t>
            </w:r>
          </w:p>
        </w:tc>
        <w:tc>
          <w:tcPr>
            <w:tcW w:w="0" w:type="auto"/>
            <w:hideMark/>
          </w:tcPr>
          <w:p w14:paraId="68057074" w14:textId="77777777" w:rsidR="00D11425" w:rsidRPr="00D11425" w:rsidRDefault="00D11425" w:rsidP="00D11425">
            <w:pPr>
              <w:jc w:val="both"/>
              <w:rPr>
                <w:rFonts w:ascii="Noto Sans" w:eastAsia="Times New Roman" w:hAnsi="Noto Sans" w:cs="Noto Sans"/>
                <w:lang w:val="es-MX" w:eastAsia="es-MX"/>
              </w:rPr>
            </w:pPr>
            <w:r w:rsidRPr="00D11425">
              <w:rPr>
                <w:rFonts w:ascii="Noto Sans" w:eastAsia="Times New Roman" w:hAnsi="Noto Sans" w:cs="Noto Sans"/>
                <w:color w:val="000000"/>
                <w:sz w:val="16"/>
                <w:szCs w:val="16"/>
                <w:lang w:val="es-MX" w:eastAsia="es-MX"/>
              </w:rPr>
              <w:t>EL PROVEEDOR entrega sus testigos y documentos para revisión con posterioridad al plazo de cinco días hábiles al vencimiento de las órdenes de servicio.</w:t>
            </w:r>
          </w:p>
        </w:tc>
        <w:tc>
          <w:tcPr>
            <w:tcW w:w="0" w:type="auto"/>
            <w:hideMark/>
          </w:tcPr>
          <w:p w14:paraId="33B80502" w14:textId="77777777" w:rsidR="00D11425" w:rsidRPr="00D11425" w:rsidRDefault="00D11425" w:rsidP="00D11425">
            <w:pPr>
              <w:jc w:val="both"/>
              <w:rPr>
                <w:rFonts w:ascii="Noto Sans" w:eastAsia="Times New Roman" w:hAnsi="Noto Sans" w:cs="Noto Sans"/>
                <w:lang w:val="es-MX" w:eastAsia="es-MX"/>
              </w:rPr>
            </w:pPr>
            <w:r w:rsidRPr="00D11425">
              <w:rPr>
                <w:rFonts w:ascii="Noto Sans" w:eastAsia="Times New Roman" w:hAnsi="Noto Sans" w:cs="Noto Sans"/>
                <w:color w:val="000000"/>
                <w:sz w:val="16"/>
                <w:szCs w:val="16"/>
                <w:lang w:val="es-MX" w:eastAsia="es-MX"/>
              </w:rPr>
              <w:t xml:space="preserve">Se establece una pena convencional igual a 2.5% del valor de la orden de servicio por cada día </w:t>
            </w:r>
            <w:r w:rsidRPr="00D11425">
              <w:rPr>
                <w:rFonts w:ascii="Noto Sans" w:eastAsia="Times New Roman" w:hAnsi="Noto Sans" w:cs="Noto Sans"/>
                <w:color w:val="000000"/>
                <w:sz w:val="16"/>
                <w:szCs w:val="16"/>
                <w:shd w:val="clear" w:color="auto" w:fill="FFFFFF"/>
                <w:lang w:val="es-MX" w:eastAsia="es-MX"/>
              </w:rPr>
              <w:t>hábil</w:t>
            </w:r>
            <w:r w:rsidRPr="00D11425">
              <w:rPr>
                <w:rFonts w:ascii="Noto Sans" w:eastAsia="Times New Roman" w:hAnsi="Noto Sans" w:cs="Noto Sans"/>
                <w:color w:val="000000"/>
                <w:sz w:val="16"/>
                <w:szCs w:val="16"/>
                <w:lang w:val="es-MX" w:eastAsia="es-MX"/>
              </w:rPr>
              <w:t xml:space="preserve"> de atraso sin IVA.</w:t>
            </w:r>
          </w:p>
        </w:tc>
      </w:tr>
    </w:tbl>
    <w:p w14:paraId="1A92933B"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0426F0DD"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La pena convencional se calculará de acuerdo con los siguientes términos y condiciones expresados en la fórmula que se detalla a continuación.</w:t>
      </w:r>
    </w:p>
    <w:p w14:paraId="64F30B20"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5AFEB758"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roofErr w:type="spellStart"/>
      <w:r w:rsidRPr="00D11425">
        <w:rPr>
          <w:rFonts w:ascii="Noto Sans" w:eastAsia="Times New Roman" w:hAnsi="Noto Sans" w:cs="Noto Sans"/>
          <w:b/>
          <w:bCs/>
          <w:sz w:val="20"/>
          <w:szCs w:val="20"/>
          <w:lang w:val="es-MX" w:eastAsia="es-MX"/>
        </w:rPr>
        <w:t>Pca</w:t>
      </w:r>
      <w:proofErr w:type="spellEnd"/>
      <w:r w:rsidRPr="00D11425">
        <w:rPr>
          <w:rFonts w:ascii="Noto Sans" w:eastAsia="Times New Roman" w:hAnsi="Noto Sans" w:cs="Noto Sans"/>
          <w:b/>
          <w:bCs/>
          <w:sz w:val="20"/>
          <w:szCs w:val="20"/>
          <w:lang w:val="es-MX" w:eastAsia="es-MX"/>
        </w:rPr>
        <w:t xml:space="preserve">= %d x </w:t>
      </w:r>
      <w:proofErr w:type="spellStart"/>
      <w:r w:rsidRPr="00D11425">
        <w:rPr>
          <w:rFonts w:ascii="Noto Sans" w:eastAsia="Times New Roman" w:hAnsi="Noto Sans" w:cs="Noto Sans"/>
          <w:b/>
          <w:bCs/>
          <w:sz w:val="20"/>
          <w:szCs w:val="20"/>
          <w:lang w:val="es-MX" w:eastAsia="es-MX"/>
        </w:rPr>
        <w:t>nda</w:t>
      </w:r>
      <w:proofErr w:type="spellEnd"/>
      <w:r w:rsidRPr="00D11425">
        <w:rPr>
          <w:rFonts w:ascii="Noto Sans" w:eastAsia="Times New Roman" w:hAnsi="Noto Sans" w:cs="Noto Sans"/>
          <w:b/>
          <w:bCs/>
          <w:sz w:val="20"/>
          <w:szCs w:val="20"/>
          <w:lang w:val="es-MX" w:eastAsia="es-MX"/>
        </w:rPr>
        <w:t xml:space="preserve"> x </w:t>
      </w:r>
      <w:proofErr w:type="spellStart"/>
      <w:r w:rsidRPr="00D11425">
        <w:rPr>
          <w:rFonts w:ascii="Noto Sans" w:eastAsia="Times New Roman" w:hAnsi="Noto Sans" w:cs="Noto Sans"/>
          <w:b/>
          <w:bCs/>
          <w:sz w:val="20"/>
          <w:szCs w:val="20"/>
          <w:lang w:val="es-MX" w:eastAsia="es-MX"/>
        </w:rPr>
        <w:t>vdot</w:t>
      </w:r>
      <w:proofErr w:type="spellEnd"/>
    </w:p>
    <w:p w14:paraId="78CC9A4F"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Donde </w:t>
      </w:r>
    </w:p>
    <w:p w14:paraId="5C48C5C1"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roofErr w:type="spellStart"/>
      <w:r w:rsidRPr="00D11425">
        <w:rPr>
          <w:rFonts w:ascii="Noto Sans" w:eastAsia="Times New Roman" w:hAnsi="Noto Sans" w:cs="Noto Sans"/>
          <w:b/>
          <w:bCs/>
          <w:sz w:val="20"/>
          <w:szCs w:val="20"/>
          <w:lang w:val="es-MX" w:eastAsia="es-MX"/>
        </w:rPr>
        <w:t>Pca</w:t>
      </w:r>
      <w:proofErr w:type="spellEnd"/>
      <w:r w:rsidRPr="00D11425">
        <w:rPr>
          <w:rFonts w:ascii="Noto Sans" w:eastAsia="Times New Roman" w:hAnsi="Noto Sans" w:cs="Noto Sans"/>
          <w:b/>
          <w:bCs/>
          <w:sz w:val="20"/>
          <w:szCs w:val="20"/>
          <w:lang w:val="es-MX" w:eastAsia="es-MX"/>
        </w:rPr>
        <w:t>=</w:t>
      </w:r>
      <w:r w:rsidRPr="00D11425">
        <w:rPr>
          <w:rFonts w:ascii="Noto Sans" w:eastAsia="Times New Roman" w:hAnsi="Noto Sans" w:cs="Noto Sans"/>
          <w:sz w:val="20"/>
          <w:szCs w:val="20"/>
          <w:lang w:val="es-MX" w:eastAsia="es-MX"/>
        </w:rPr>
        <w:t xml:space="preserve"> Pena Convencional Aplicable</w:t>
      </w:r>
    </w:p>
    <w:p w14:paraId="6ED75D18"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b/>
          <w:bCs/>
          <w:sz w:val="20"/>
          <w:szCs w:val="20"/>
          <w:lang w:val="es-MX" w:eastAsia="es-MX"/>
        </w:rPr>
        <w:t>%d=</w:t>
      </w:r>
      <w:r w:rsidRPr="00D11425">
        <w:rPr>
          <w:rFonts w:ascii="Noto Sans" w:eastAsia="Times New Roman" w:hAnsi="Noto Sans" w:cs="Noto Sans"/>
          <w:sz w:val="20"/>
          <w:szCs w:val="20"/>
          <w:lang w:val="es-MX" w:eastAsia="es-MX"/>
        </w:rPr>
        <w:t xml:space="preserve"> porcentaje determinado en la convocatoria, invitación, cotización contrato o pedido por cada día de atraso en la entrega de testigos.</w:t>
      </w:r>
    </w:p>
    <w:p w14:paraId="571B55B5"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roofErr w:type="spellStart"/>
      <w:r w:rsidRPr="00D11425">
        <w:rPr>
          <w:rFonts w:ascii="Noto Sans" w:eastAsia="Times New Roman" w:hAnsi="Noto Sans" w:cs="Noto Sans"/>
          <w:b/>
          <w:bCs/>
          <w:sz w:val="20"/>
          <w:szCs w:val="20"/>
          <w:lang w:val="es-MX" w:eastAsia="es-MX"/>
        </w:rPr>
        <w:t>nda</w:t>
      </w:r>
      <w:proofErr w:type="spellEnd"/>
      <w:r w:rsidRPr="00D11425">
        <w:rPr>
          <w:rFonts w:ascii="Noto Sans" w:eastAsia="Times New Roman" w:hAnsi="Noto Sans" w:cs="Noto Sans"/>
          <w:b/>
          <w:bCs/>
          <w:sz w:val="20"/>
          <w:szCs w:val="20"/>
          <w:lang w:val="es-MX" w:eastAsia="es-MX"/>
        </w:rPr>
        <w:t xml:space="preserve">= </w:t>
      </w:r>
      <w:r w:rsidRPr="00D11425">
        <w:rPr>
          <w:rFonts w:ascii="Noto Sans" w:eastAsia="Times New Roman" w:hAnsi="Noto Sans" w:cs="Noto Sans"/>
          <w:sz w:val="20"/>
          <w:szCs w:val="20"/>
          <w:lang w:val="es-MX" w:eastAsia="es-MX"/>
        </w:rPr>
        <w:t>Número de días hábiles de atraso posteriores al vencimiento de las órdenes de servicio.   </w:t>
      </w:r>
    </w:p>
    <w:p w14:paraId="4EB3E17C"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roofErr w:type="spellStart"/>
      <w:r w:rsidRPr="00D11425">
        <w:rPr>
          <w:rFonts w:ascii="Noto Sans" w:eastAsia="Times New Roman" w:hAnsi="Noto Sans" w:cs="Noto Sans"/>
          <w:b/>
          <w:bCs/>
          <w:sz w:val="20"/>
          <w:szCs w:val="20"/>
          <w:lang w:val="es-MX" w:eastAsia="es-MX"/>
        </w:rPr>
        <w:t>vdot</w:t>
      </w:r>
      <w:proofErr w:type="spellEnd"/>
      <w:r w:rsidRPr="00D11425">
        <w:rPr>
          <w:rFonts w:ascii="Noto Sans" w:eastAsia="Times New Roman" w:hAnsi="Noto Sans" w:cs="Noto Sans"/>
          <w:b/>
          <w:bCs/>
          <w:sz w:val="20"/>
          <w:szCs w:val="20"/>
          <w:lang w:val="es-MX" w:eastAsia="es-MX"/>
        </w:rPr>
        <w:t>=</w:t>
      </w:r>
      <w:r w:rsidRPr="00D11425">
        <w:rPr>
          <w:rFonts w:ascii="Noto Sans" w:eastAsia="Times New Roman" w:hAnsi="Noto Sans" w:cs="Noto Sans"/>
          <w:sz w:val="20"/>
          <w:szCs w:val="20"/>
          <w:lang w:val="es-MX" w:eastAsia="es-MX"/>
        </w:rPr>
        <w:t xml:space="preserve"> Valor de la orden de servicio sin IVA.</w:t>
      </w:r>
    </w:p>
    <w:p w14:paraId="65DE3EFE"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1A237429"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t>En cualquier caso, dicha pena no podrá exceder del monto de la garantía de cumplimiento del contrato, o en caso de que no le aplique la garantía de cumplimiento el límite será del 20% del monto de los servicios entregados o prestados fuera del plazo convenido.</w:t>
      </w:r>
    </w:p>
    <w:p w14:paraId="629A0A11" w14:textId="77777777" w:rsidR="007D3C77" w:rsidRDefault="007D3C77" w:rsidP="00B016E8">
      <w:pPr>
        <w:spacing w:line="276" w:lineRule="auto"/>
        <w:jc w:val="both"/>
        <w:rPr>
          <w:rFonts w:ascii="Geomanist" w:hAnsi="Geomanist"/>
          <w:b/>
          <w:bCs/>
          <w:sz w:val="21"/>
          <w:szCs w:val="21"/>
          <w:lang w:val="es-MX"/>
        </w:rPr>
      </w:pPr>
    </w:p>
    <w:p w14:paraId="56D1E872" w14:textId="77777777" w:rsidR="007D3C77" w:rsidRDefault="007D3C77" w:rsidP="00B016E8">
      <w:pPr>
        <w:spacing w:line="276" w:lineRule="auto"/>
        <w:jc w:val="both"/>
        <w:rPr>
          <w:rFonts w:ascii="Geomanist" w:hAnsi="Geomanist"/>
          <w:b/>
          <w:bCs/>
          <w:sz w:val="21"/>
          <w:szCs w:val="21"/>
          <w:lang w:val="es-MX"/>
        </w:rPr>
      </w:pPr>
    </w:p>
    <w:p w14:paraId="3B18F0C9" w14:textId="4A8120BE" w:rsidR="00B016E8" w:rsidRPr="00EE05D8" w:rsidRDefault="00B016E8" w:rsidP="00B016E8">
      <w:pPr>
        <w:spacing w:line="276" w:lineRule="auto"/>
        <w:jc w:val="both"/>
        <w:rPr>
          <w:rFonts w:ascii="Geomanist" w:hAnsi="Geomanist"/>
          <w:b/>
          <w:bCs/>
          <w:sz w:val="21"/>
          <w:szCs w:val="21"/>
          <w:lang w:val="es-MX"/>
        </w:rPr>
      </w:pPr>
      <w:r>
        <w:rPr>
          <w:rFonts w:ascii="Geomanist" w:hAnsi="Geomanist"/>
          <w:b/>
          <w:bCs/>
          <w:sz w:val="21"/>
          <w:szCs w:val="21"/>
          <w:lang w:val="es-MX"/>
        </w:rPr>
        <w:lastRenderedPageBreak/>
        <w:t xml:space="preserve">h.2) </w:t>
      </w:r>
      <w:r w:rsidRPr="00EE05D8">
        <w:rPr>
          <w:rFonts w:ascii="Geomanist" w:hAnsi="Geomanist"/>
          <w:b/>
          <w:bCs/>
          <w:sz w:val="21"/>
          <w:szCs w:val="21"/>
          <w:lang w:val="es-MX"/>
        </w:rPr>
        <w:t>Deducciones</w:t>
      </w:r>
    </w:p>
    <w:p w14:paraId="36AC9C25" w14:textId="77777777" w:rsidR="00B016E8" w:rsidRPr="007D3C77" w:rsidRDefault="00B016E8" w:rsidP="007D3C77">
      <w:pPr>
        <w:pStyle w:val="Sinespaciado"/>
        <w:rPr>
          <w:rFonts w:ascii="Noto Sans" w:hAnsi="Noto Sans" w:cs="Noto Sans"/>
          <w:sz w:val="20"/>
          <w:szCs w:val="20"/>
          <w:lang w:val="es-MX"/>
        </w:rPr>
      </w:pPr>
      <w:r w:rsidRPr="007D3C77">
        <w:rPr>
          <w:rFonts w:ascii="Noto Sans" w:hAnsi="Noto Sans" w:cs="Noto Sans"/>
          <w:sz w:val="20"/>
          <w:szCs w:val="20"/>
          <w:lang w:val="es-MX"/>
        </w:rPr>
        <w:t>En caso de que los servicios sean parciales, deficientes o carezcan de las condiciones detalladas en el anexo técnico y no habiendo causa justificada, el proveedor se hará acreedor a una sanción por los siguientes conceptos:</w:t>
      </w:r>
    </w:p>
    <w:p w14:paraId="251080C8" w14:textId="77777777" w:rsidR="002A3AE2" w:rsidRDefault="002A3AE2" w:rsidP="00B016E8">
      <w:pPr>
        <w:rPr>
          <w:rFonts w:ascii="Noto Sans" w:eastAsia="Times New Roman" w:hAnsi="Noto Sans" w:cs="Noto Sans"/>
          <w:b/>
          <w:bCs/>
          <w:sz w:val="20"/>
          <w:szCs w:val="20"/>
          <w:lang w:val="es-MX" w:eastAsia="es-MX"/>
        </w:rPr>
      </w:pPr>
    </w:p>
    <w:p w14:paraId="6C1ED713" w14:textId="4C0CE095" w:rsidR="00D11425" w:rsidRDefault="00D11425" w:rsidP="00B016E8">
      <w:pPr>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PRESENCIA DE MARCA EN EVENTOS MASIVOS TRANSMITIDOS POR TELEVISIÓN</w:t>
      </w:r>
    </w:p>
    <w:tbl>
      <w:tblPr>
        <w:tblW w:w="10060" w:type="dxa"/>
        <w:jc w:val="center"/>
        <w:tblCellMar>
          <w:top w:w="15" w:type="dxa"/>
          <w:left w:w="15" w:type="dxa"/>
          <w:bottom w:w="15" w:type="dxa"/>
          <w:right w:w="15" w:type="dxa"/>
        </w:tblCellMar>
        <w:tblLook w:val="04A0" w:firstRow="1" w:lastRow="0" w:firstColumn="1" w:lastColumn="0" w:noHBand="0" w:noVBand="1"/>
      </w:tblPr>
      <w:tblGrid>
        <w:gridCol w:w="2180"/>
        <w:gridCol w:w="2635"/>
        <w:gridCol w:w="1417"/>
        <w:gridCol w:w="1985"/>
        <w:gridCol w:w="1843"/>
      </w:tblGrid>
      <w:tr w:rsidR="00D11425" w:rsidRPr="00D11425" w14:paraId="1F74DF0B" w14:textId="77777777" w:rsidTr="005342AD">
        <w:trPr>
          <w:jc w:val="center"/>
        </w:trPr>
        <w:tc>
          <w:tcPr>
            <w:tcW w:w="0" w:type="auto"/>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62DF66D"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Concepto y obligación</w:t>
            </w:r>
          </w:p>
        </w:tc>
        <w:tc>
          <w:tcPr>
            <w:tcW w:w="2635"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5C539D9F"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Nivel de servicio</w:t>
            </w:r>
          </w:p>
        </w:tc>
        <w:tc>
          <w:tcPr>
            <w:tcW w:w="1417"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0ED2B781"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Unidad de medida</w:t>
            </w:r>
          </w:p>
        </w:tc>
        <w:tc>
          <w:tcPr>
            <w:tcW w:w="1985"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4D68211"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Deducción</w:t>
            </w:r>
          </w:p>
        </w:tc>
        <w:tc>
          <w:tcPr>
            <w:tcW w:w="184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4489479"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Límite de incumplimiento</w:t>
            </w:r>
          </w:p>
        </w:tc>
      </w:tr>
      <w:tr w:rsidR="00D11425" w:rsidRPr="00D11425" w14:paraId="206D553A" w14:textId="77777777" w:rsidTr="005342AD">
        <w:trPr>
          <w:trHeight w:val="1360"/>
          <w:jc w:val="center"/>
        </w:trPr>
        <w:tc>
          <w:tcPr>
            <w:tcW w:w="0" w:type="auto"/>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619D70DA"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b/>
                <w:bCs/>
                <w:color w:val="000000"/>
                <w:sz w:val="16"/>
                <w:szCs w:val="16"/>
                <w:lang w:val="es-MX" w:eastAsia="es-MX"/>
              </w:rPr>
              <w:t>Presencia de marca en eventos transmitidos por televisión</w:t>
            </w:r>
          </w:p>
          <w:p w14:paraId="6FFF3C73" w14:textId="77777777" w:rsidR="00D11425" w:rsidRPr="00D11425" w:rsidRDefault="00D11425" w:rsidP="00D11425">
            <w:pPr>
              <w:rPr>
                <w:rFonts w:ascii="Noto Sans" w:eastAsia="Times New Roman" w:hAnsi="Noto Sans" w:cs="Noto Sans"/>
                <w:sz w:val="16"/>
                <w:szCs w:val="16"/>
                <w:lang w:val="es-MX" w:eastAsia="es-MX"/>
              </w:rPr>
            </w:pPr>
          </w:p>
          <w:p w14:paraId="2DBEFF24" w14:textId="00F5E156"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 xml:space="preserve">Difusión de las campañas institucionales </w:t>
            </w:r>
            <w:r w:rsidR="004F4F07">
              <w:rPr>
                <w:rFonts w:ascii="Noto Sans" w:eastAsia="Times New Roman" w:hAnsi="Noto Sans" w:cs="Noto Sans"/>
                <w:color w:val="000000"/>
                <w:sz w:val="16"/>
                <w:szCs w:val="16"/>
                <w:lang w:val="es-MX" w:eastAsia="es-MX"/>
              </w:rPr>
              <w:t>2026</w:t>
            </w:r>
            <w:r w:rsidRPr="00D11425">
              <w:rPr>
                <w:rFonts w:ascii="Noto Sans" w:eastAsia="Times New Roman" w:hAnsi="Noto Sans" w:cs="Noto Sans"/>
                <w:color w:val="000000"/>
                <w:sz w:val="16"/>
                <w:szCs w:val="16"/>
                <w:lang w:val="es-MX" w:eastAsia="es-MX"/>
              </w:rPr>
              <w:t>, en los espacios publicitarios a través Tiempo aire en televisión con las que el proveedor cuenta durante la vigencia del servicio, a indicación expresa de EL INSTITUTO, mediante las órdenes de servicio correspondientes.</w:t>
            </w:r>
          </w:p>
        </w:tc>
        <w:tc>
          <w:tcPr>
            <w:tcW w:w="2635"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134EC932"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El</w:t>
            </w:r>
            <w:r w:rsidRPr="00D11425">
              <w:rPr>
                <w:rFonts w:ascii="Noto Sans" w:eastAsia="Times New Roman" w:hAnsi="Noto Sans" w:cs="Noto Sans"/>
                <w:b/>
                <w:bCs/>
                <w:color w:val="000000"/>
                <w:sz w:val="16"/>
                <w:szCs w:val="16"/>
                <w:lang w:val="es-MX" w:eastAsia="es-MX"/>
              </w:rPr>
              <w:t xml:space="preserve"> 100%</w:t>
            </w:r>
            <w:r w:rsidRPr="00D11425">
              <w:rPr>
                <w:rFonts w:ascii="Noto Sans" w:eastAsia="Times New Roman" w:hAnsi="Noto Sans" w:cs="Noto Sans"/>
                <w:color w:val="000000"/>
                <w:sz w:val="16"/>
                <w:szCs w:val="16"/>
                <w:lang w:val="es-MX" w:eastAsia="es-MX"/>
              </w:rPr>
              <w:t xml:space="preserve"> de los testigos en video de los servicios solicitados, en donde se deberán apreciar las campañas de </w:t>
            </w:r>
            <w:r w:rsidRPr="00D11425">
              <w:rPr>
                <w:rFonts w:ascii="Noto Sans" w:eastAsia="Times New Roman" w:hAnsi="Noto Sans" w:cs="Noto Sans"/>
                <w:b/>
                <w:bCs/>
                <w:color w:val="000000"/>
                <w:sz w:val="16"/>
                <w:szCs w:val="16"/>
                <w:lang w:val="es-MX" w:eastAsia="es-MX"/>
              </w:rPr>
              <w:t>EL INSTITUTO</w:t>
            </w:r>
            <w:r w:rsidRPr="00D11425">
              <w:rPr>
                <w:rFonts w:ascii="Noto Sans" w:eastAsia="Times New Roman" w:hAnsi="Noto Sans" w:cs="Noto Sans"/>
                <w:color w:val="000000"/>
                <w:sz w:val="16"/>
                <w:szCs w:val="16"/>
                <w:lang w:val="es-MX" w:eastAsia="es-MX"/>
              </w:rPr>
              <w:t>.</w:t>
            </w:r>
          </w:p>
          <w:p w14:paraId="508930B8" w14:textId="77777777" w:rsidR="00D11425" w:rsidRPr="00D11425" w:rsidRDefault="00D11425" w:rsidP="00D11425">
            <w:pPr>
              <w:spacing w:after="240"/>
              <w:rPr>
                <w:rFonts w:ascii="Noto Sans" w:eastAsia="Times New Roman" w:hAnsi="Noto Sans" w:cs="Noto Sans"/>
                <w:sz w:val="16"/>
                <w:szCs w:val="16"/>
                <w:lang w:val="es-MX" w:eastAsia="es-MX"/>
              </w:rPr>
            </w:pPr>
          </w:p>
        </w:tc>
        <w:tc>
          <w:tcPr>
            <w:tcW w:w="1417"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3A1EED78"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Por la entrega parcial o deficiente de los testigos de los espacios solicitados en cada orden de servicio.</w:t>
            </w:r>
          </w:p>
        </w:tc>
        <w:tc>
          <w:tcPr>
            <w:tcW w:w="1985"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F88DA47"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 xml:space="preserve">Se descontarán los espacios afectados y se aplicará el 10% del valor de lo incumplido sin IVA; en caso de que EL PROVEEDOR reincida en la afectación de los servicios prestados, este porcentaje incrementará en </w:t>
            </w:r>
            <w:r w:rsidRPr="00D11425">
              <w:rPr>
                <w:rFonts w:ascii="Noto Sans" w:eastAsia="Times New Roman" w:hAnsi="Noto Sans" w:cs="Noto Sans"/>
                <w:b/>
                <w:bCs/>
                <w:color w:val="000000"/>
                <w:sz w:val="16"/>
                <w:szCs w:val="16"/>
                <w:lang w:val="es-MX" w:eastAsia="es-MX"/>
              </w:rPr>
              <w:t>5%</w:t>
            </w:r>
            <w:r w:rsidRPr="00D11425">
              <w:rPr>
                <w:rFonts w:ascii="Noto Sans" w:eastAsia="Times New Roman" w:hAnsi="Noto Sans" w:cs="Noto Sans"/>
                <w:color w:val="000000"/>
                <w:sz w:val="16"/>
                <w:szCs w:val="16"/>
                <w:lang w:val="es-MX" w:eastAsia="es-MX"/>
              </w:rPr>
              <w:t xml:space="preserve"> en cada ocasión en que una orden de servicio se vea afectada.</w:t>
            </w:r>
          </w:p>
          <w:p w14:paraId="502AACC9" w14:textId="77777777" w:rsidR="00D11425" w:rsidRPr="00D11425" w:rsidRDefault="00D11425" w:rsidP="00D11425">
            <w:pPr>
              <w:rPr>
                <w:rFonts w:ascii="Noto Sans" w:eastAsia="Times New Roman" w:hAnsi="Noto Sans" w:cs="Noto Sans"/>
                <w:sz w:val="16"/>
                <w:szCs w:val="16"/>
                <w:lang w:val="es-MX" w:eastAsia="es-MX"/>
              </w:rPr>
            </w:pPr>
          </w:p>
        </w:tc>
        <w:tc>
          <w:tcPr>
            <w:tcW w:w="184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10337071"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Será hasta por el monto de la garantía de cumplimiento o del 20% del monto de los servicios entregados o prestados fuera del plazo convenido, en caso de que no le aplique la entrega de la garantía.</w:t>
            </w:r>
          </w:p>
        </w:tc>
      </w:tr>
      <w:tr w:rsidR="00D11425" w:rsidRPr="00D11425" w14:paraId="6C9BCCFD" w14:textId="77777777" w:rsidTr="005342AD">
        <w:trPr>
          <w:trHeight w:val="160"/>
          <w:jc w:val="center"/>
        </w:trPr>
        <w:tc>
          <w:tcPr>
            <w:tcW w:w="0" w:type="auto"/>
            <w:vMerge/>
            <w:tcBorders>
              <w:top w:val="single" w:sz="4" w:space="0" w:color="666666"/>
              <w:left w:val="single" w:sz="4" w:space="0" w:color="666666"/>
              <w:bottom w:val="single" w:sz="4" w:space="0" w:color="666666"/>
              <w:right w:val="single" w:sz="4" w:space="0" w:color="666666"/>
            </w:tcBorders>
            <w:vAlign w:val="center"/>
            <w:hideMark/>
          </w:tcPr>
          <w:p w14:paraId="1D6B5210" w14:textId="77777777" w:rsidR="00D11425" w:rsidRPr="00D11425" w:rsidRDefault="00D11425" w:rsidP="00D11425">
            <w:pPr>
              <w:rPr>
                <w:rFonts w:ascii="Noto Sans" w:eastAsia="Times New Roman" w:hAnsi="Noto Sans" w:cs="Noto Sans"/>
                <w:sz w:val="16"/>
                <w:szCs w:val="16"/>
                <w:lang w:val="es-MX" w:eastAsia="es-MX"/>
              </w:rPr>
            </w:pPr>
          </w:p>
        </w:tc>
        <w:tc>
          <w:tcPr>
            <w:tcW w:w="2635"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3937E7EF"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b/>
                <w:bCs/>
                <w:color w:val="000000"/>
                <w:sz w:val="16"/>
                <w:szCs w:val="16"/>
                <w:lang w:val="es-MX" w:eastAsia="es-MX"/>
              </w:rPr>
              <w:t>Bitácora</w:t>
            </w:r>
            <w:r w:rsidRPr="00D11425">
              <w:rPr>
                <w:rFonts w:ascii="Noto Sans" w:eastAsia="Times New Roman" w:hAnsi="Noto Sans" w:cs="Noto Sans"/>
                <w:color w:val="000000"/>
                <w:sz w:val="16"/>
                <w:szCs w:val="16"/>
                <w:lang w:val="es-MX" w:eastAsia="es-MX"/>
              </w:rPr>
              <w:t xml:space="preserve"> (impresa) del </w:t>
            </w:r>
            <w:r w:rsidRPr="00D11425">
              <w:rPr>
                <w:rFonts w:ascii="Noto Sans" w:eastAsia="Times New Roman" w:hAnsi="Noto Sans" w:cs="Noto Sans"/>
                <w:b/>
                <w:bCs/>
                <w:color w:val="000000"/>
                <w:sz w:val="16"/>
                <w:szCs w:val="16"/>
                <w:lang w:val="es-MX" w:eastAsia="es-MX"/>
              </w:rPr>
              <w:t>100%</w:t>
            </w:r>
            <w:r w:rsidRPr="00D11425">
              <w:rPr>
                <w:rFonts w:ascii="Noto Sans" w:eastAsia="Times New Roman" w:hAnsi="Noto Sans" w:cs="Noto Sans"/>
                <w:color w:val="000000"/>
                <w:sz w:val="16"/>
                <w:szCs w:val="16"/>
                <w:lang w:val="es-MX" w:eastAsia="es-MX"/>
              </w:rPr>
              <w:t xml:space="preserve"> de los espacios solicitados que contendrá el tiempo visualizado al aire en televisión, indicando el minuto en el que se pudo visualizar la transmisión durante el periodo solicitado.</w:t>
            </w:r>
          </w:p>
        </w:tc>
        <w:tc>
          <w:tcPr>
            <w:tcW w:w="1417" w:type="dxa"/>
            <w:vMerge/>
            <w:tcBorders>
              <w:top w:val="single" w:sz="4" w:space="0" w:color="666666"/>
              <w:left w:val="single" w:sz="4" w:space="0" w:color="666666"/>
              <w:bottom w:val="single" w:sz="4" w:space="0" w:color="666666"/>
              <w:right w:val="single" w:sz="4" w:space="0" w:color="666666"/>
            </w:tcBorders>
            <w:vAlign w:val="center"/>
            <w:hideMark/>
          </w:tcPr>
          <w:p w14:paraId="30C9978A" w14:textId="77777777" w:rsidR="00D11425" w:rsidRPr="00D11425" w:rsidRDefault="00D11425" w:rsidP="00D11425">
            <w:pPr>
              <w:rPr>
                <w:rFonts w:ascii="Noto Sans" w:eastAsia="Times New Roman" w:hAnsi="Noto Sans" w:cs="Noto Sans"/>
                <w:sz w:val="16"/>
                <w:szCs w:val="16"/>
                <w:lang w:val="es-MX" w:eastAsia="es-MX"/>
              </w:rPr>
            </w:pPr>
          </w:p>
        </w:tc>
        <w:tc>
          <w:tcPr>
            <w:tcW w:w="1985" w:type="dxa"/>
            <w:vMerge/>
            <w:tcBorders>
              <w:top w:val="single" w:sz="4" w:space="0" w:color="666666"/>
              <w:left w:val="single" w:sz="4" w:space="0" w:color="666666"/>
              <w:bottom w:val="single" w:sz="4" w:space="0" w:color="666666"/>
              <w:right w:val="single" w:sz="4" w:space="0" w:color="666666"/>
            </w:tcBorders>
            <w:vAlign w:val="center"/>
            <w:hideMark/>
          </w:tcPr>
          <w:p w14:paraId="40C74932" w14:textId="77777777" w:rsidR="00D11425" w:rsidRPr="00D11425" w:rsidRDefault="00D11425" w:rsidP="00D11425">
            <w:pPr>
              <w:rPr>
                <w:rFonts w:ascii="Noto Sans" w:eastAsia="Times New Roman" w:hAnsi="Noto Sans" w:cs="Noto Sans"/>
                <w:sz w:val="16"/>
                <w:szCs w:val="16"/>
                <w:lang w:val="es-MX" w:eastAsia="es-MX"/>
              </w:rPr>
            </w:pPr>
          </w:p>
        </w:tc>
        <w:tc>
          <w:tcPr>
            <w:tcW w:w="1843" w:type="dxa"/>
            <w:vMerge/>
            <w:tcBorders>
              <w:top w:val="single" w:sz="4" w:space="0" w:color="666666"/>
              <w:left w:val="single" w:sz="4" w:space="0" w:color="666666"/>
              <w:bottom w:val="single" w:sz="4" w:space="0" w:color="666666"/>
              <w:right w:val="single" w:sz="4" w:space="0" w:color="666666"/>
            </w:tcBorders>
            <w:vAlign w:val="center"/>
            <w:hideMark/>
          </w:tcPr>
          <w:p w14:paraId="384FE89E" w14:textId="77777777" w:rsidR="00D11425" w:rsidRPr="00D11425" w:rsidRDefault="00D11425" w:rsidP="00D11425">
            <w:pPr>
              <w:rPr>
                <w:rFonts w:ascii="Noto Sans" w:eastAsia="Times New Roman" w:hAnsi="Noto Sans" w:cs="Noto Sans"/>
                <w:sz w:val="16"/>
                <w:szCs w:val="16"/>
                <w:lang w:val="es-MX" w:eastAsia="es-MX"/>
              </w:rPr>
            </w:pPr>
          </w:p>
        </w:tc>
      </w:tr>
    </w:tbl>
    <w:p w14:paraId="3013ECB7" w14:textId="77777777" w:rsidR="00D11425" w:rsidRDefault="00D11425" w:rsidP="00D11425">
      <w:pPr>
        <w:spacing w:line="276" w:lineRule="auto"/>
        <w:jc w:val="both"/>
        <w:rPr>
          <w:rFonts w:ascii="Noto Sans" w:eastAsia="Times New Roman" w:hAnsi="Noto Sans" w:cs="Noto Sans"/>
          <w:sz w:val="20"/>
          <w:szCs w:val="20"/>
          <w:lang w:val="es-MX" w:eastAsia="es-MX"/>
        </w:rPr>
      </w:pPr>
    </w:p>
    <w:p w14:paraId="076CE40D" w14:textId="06338412" w:rsidR="00D11425" w:rsidRDefault="00D11425" w:rsidP="00D11425">
      <w:pPr>
        <w:spacing w:line="276" w:lineRule="auto"/>
        <w:jc w:val="both"/>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SPOTEO EN PANTALLAS DIGITALES EN ESPACIOS PÚBLICOS</w:t>
      </w:r>
    </w:p>
    <w:tbl>
      <w:tblPr>
        <w:tblW w:w="10274" w:type="dxa"/>
        <w:jc w:val="center"/>
        <w:tblCellMar>
          <w:top w:w="15" w:type="dxa"/>
          <w:left w:w="15" w:type="dxa"/>
          <w:bottom w:w="15" w:type="dxa"/>
          <w:right w:w="15" w:type="dxa"/>
        </w:tblCellMar>
        <w:tblLook w:val="04A0" w:firstRow="1" w:lastRow="0" w:firstColumn="1" w:lastColumn="0" w:noHBand="0" w:noVBand="1"/>
      </w:tblPr>
      <w:tblGrid>
        <w:gridCol w:w="2324"/>
        <w:gridCol w:w="2633"/>
        <w:gridCol w:w="1417"/>
        <w:gridCol w:w="1985"/>
        <w:gridCol w:w="1915"/>
      </w:tblGrid>
      <w:tr w:rsidR="00D11425" w:rsidRPr="00D11425" w14:paraId="38C85DF2" w14:textId="77777777" w:rsidTr="005342AD">
        <w:trPr>
          <w:trHeight w:val="547"/>
          <w:jc w:val="center"/>
        </w:trPr>
        <w:tc>
          <w:tcPr>
            <w:tcW w:w="2324"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77589B5" w14:textId="77777777" w:rsidR="00D11425" w:rsidRPr="00D11425" w:rsidRDefault="00D11425" w:rsidP="00D11425">
            <w:pPr>
              <w:jc w:val="center"/>
              <w:rPr>
                <w:rFonts w:ascii="Noto Sans" w:eastAsiaTheme="minorHAnsi" w:hAnsi="Noto Sans" w:cs="Noto Sans"/>
                <w:b/>
                <w:bCs/>
                <w:kern w:val="2"/>
                <w:sz w:val="16"/>
                <w:szCs w:val="16"/>
                <w:lang w:val="es-MX"/>
                <w14:ligatures w14:val="standardContextual"/>
              </w:rPr>
            </w:pPr>
            <w:r w:rsidRPr="00D11425">
              <w:rPr>
                <w:rFonts w:ascii="Noto Sans" w:eastAsiaTheme="minorHAnsi" w:hAnsi="Noto Sans" w:cs="Noto Sans"/>
                <w:b/>
                <w:bCs/>
                <w:kern w:val="2"/>
                <w:sz w:val="16"/>
                <w:szCs w:val="16"/>
                <w:lang w:val="es-MX"/>
                <w14:ligatures w14:val="standardContextual"/>
              </w:rPr>
              <w:t>Concepto y obligación</w:t>
            </w:r>
          </w:p>
        </w:tc>
        <w:tc>
          <w:tcPr>
            <w:tcW w:w="263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330CD6D" w14:textId="77777777" w:rsidR="00D11425" w:rsidRPr="00D11425" w:rsidRDefault="00D11425" w:rsidP="00D11425">
            <w:pPr>
              <w:jc w:val="center"/>
              <w:rPr>
                <w:rFonts w:ascii="Noto Sans" w:eastAsiaTheme="minorHAnsi" w:hAnsi="Noto Sans" w:cs="Noto Sans"/>
                <w:b/>
                <w:bCs/>
                <w:kern w:val="2"/>
                <w:sz w:val="16"/>
                <w:szCs w:val="16"/>
                <w:lang w:val="es-MX"/>
                <w14:ligatures w14:val="standardContextual"/>
              </w:rPr>
            </w:pPr>
            <w:r w:rsidRPr="00D11425">
              <w:rPr>
                <w:rFonts w:ascii="Noto Sans" w:eastAsiaTheme="minorHAnsi" w:hAnsi="Noto Sans" w:cs="Noto Sans"/>
                <w:b/>
                <w:bCs/>
                <w:kern w:val="2"/>
                <w:sz w:val="16"/>
                <w:szCs w:val="16"/>
                <w:lang w:val="es-MX"/>
                <w14:ligatures w14:val="standardContextual"/>
              </w:rPr>
              <w:t>Nivel de servicio</w:t>
            </w:r>
          </w:p>
        </w:tc>
        <w:tc>
          <w:tcPr>
            <w:tcW w:w="1417"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3245C55C" w14:textId="77777777" w:rsidR="00D11425" w:rsidRPr="00D11425" w:rsidRDefault="00D11425" w:rsidP="00D11425">
            <w:pPr>
              <w:jc w:val="center"/>
              <w:rPr>
                <w:rFonts w:ascii="Noto Sans" w:eastAsiaTheme="minorHAnsi" w:hAnsi="Noto Sans" w:cs="Noto Sans"/>
                <w:b/>
                <w:bCs/>
                <w:kern w:val="2"/>
                <w:sz w:val="16"/>
                <w:szCs w:val="16"/>
                <w:lang w:val="es-MX"/>
                <w14:ligatures w14:val="standardContextual"/>
              </w:rPr>
            </w:pPr>
            <w:r w:rsidRPr="00D11425">
              <w:rPr>
                <w:rFonts w:ascii="Noto Sans" w:eastAsiaTheme="minorHAnsi" w:hAnsi="Noto Sans" w:cs="Noto Sans"/>
                <w:b/>
                <w:bCs/>
                <w:kern w:val="2"/>
                <w:sz w:val="16"/>
                <w:szCs w:val="16"/>
                <w:lang w:val="es-MX"/>
                <w14:ligatures w14:val="standardContextual"/>
              </w:rPr>
              <w:t>Unidad de medida</w:t>
            </w:r>
          </w:p>
        </w:tc>
        <w:tc>
          <w:tcPr>
            <w:tcW w:w="1985"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39B13084" w14:textId="77777777" w:rsidR="00D11425" w:rsidRPr="00D11425" w:rsidRDefault="00D11425" w:rsidP="00D11425">
            <w:pPr>
              <w:jc w:val="center"/>
              <w:rPr>
                <w:rFonts w:ascii="Noto Sans" w:eastAsiaTheme="minorHAnsi" w:hAnsi="Noto Sans" w:cs="Noto Sans"/>
                <w:b/>
                <w:bCs/>
                <w:kern w:val="2"/>
                <w:sz w:val="16"/>
                <w:szCs w:val="16"/>
                <w:lang w:val="es-MX"/>
                <w14:ligatures w14:val="standardContextual"/>
              </w:rPr>
            </w:pPr>
            <w:r w:rsidRPr="00D11425">
              <w:rPr>
                <w:rFonts w:ascii="Noto Sans" w:eastAsiaTheme="minorHAnsi" w:hAnsi="Noto Sans" w:cs="Noto Sans"/>
                <w:b/>
                <w:bCs/>
                <w:kern w:val="2"/>
                <w:sz w:val="16"/>
                <w:szCs w:val="16"/>
                <w:lang w:val="es-MX"/>
                <w14:ligatures w14:val="standardContextual"/>
              </w:rPr>
              <w:t>Deducción</w:t>
            </w:r>
          </w:p>
        </w:tc>
        <w:tc>
          <w:tcPr>
            <w:tcW w:w="1915"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5D9F067A" w14:textId="77777777" w:rsidR="00D11425" w:rsidRPr="00D11425" w:rsidRDefault="00D11425" w:rsidP="00D11425">
            <w:pPr>
              <w:jc w:val="center"/>
              <w:rPr>
                <w:rFonts w:ascii="Noto Sans" w:eastAsiaTheme="minorHAnsi" w:hAnsi="Noto Sans" w:cs="Noto Sans"/>
                <w:b/>
                <w:bCs/>
                <w:kern w:val="2"/>
                <w:sz w:val="16"/>
                <w:szCs w:val="16"/>
                <w:lang w:val="es-MX"/>
                <w14:ligatures w14:val="standardContextual"/>
              </w:rPr>
            </w:pPr>
            <w:r w:rsidRPr="00D11425">
              <w:rPr>
                <w:rFonts w:ascii="Noto Sans" w:eastAsiaTheme="minorHAnsi" w:hAnsi="Noto Sans" w:cs="Noto Sans"/>
                <w:b/>
                <w:bCs/>
                <w:kern w:val="2"/>
                <w:sz w:val="16"/>
                <w:szCs w:val="16"/>
                <w:lang w:val="es-MX"/>
                <w14:ligatures w14:val="standardContextual"/>
              </w:rPr>
              <w:t>Límite de incumplimiento</w:t>
            </w:r>
          </w:p>
        </w:tc>
      </w:tr>
      <w:tr w:rsidR="00D11425" w:rsidRPr="00D11425" w14:paraId="728088FD" w14:textId="77777777" w:rsidTr="005342AD">
        <w:trPr>
          <w:trHeight w:val="1757"/>
          <w:jc w:val="center"/>
        </w:trPr>
        <w:tc>
          <w:tcPr>
            <w:tcW w:w="2324"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9C8EEC4" w14:textId="77777777" w:rsidR="00D11425" w:rsidRPr="00D11425" w:rsidRDefault="00D11425" w:rsidP="00D11425">
            <w:pPr>
              <w:spacing w:after="160"/>
              <w:rPr>
                <w:rFonts w:ascii="Noto Sans" w:eastAsiaTheme="minorHAnsi" w:hAnsi="Noto Sans" w:cs="Noto Sans"/>
                <w:kern w:val="2"/>
                <w:sz w:val="16"/>
                <w:szCs w:val="16"/>
                <w:lang w:val="es-MX"/>
                <w14:ligatures w14:val="standardContextual"/>
              </w:rPr>
            </w:pPr>
            <w:proofErr w:type="spellStart"/>
            <w:r w:rsidRPr="00D11425">
              <w:rPr>
                <w:rFonts w:ascii="Noto Sans" w:eastAsiaTheme="minorHAnsi" w:hAnsi="Noto Sans" w:cs="Noto Sans"/>
                <w:b/>
                <w:bCs/>
                <w:kern w:val="2"/>
                <w:sz w:val="16"/>
                <w:szCs w:val="16"/>
                <w:lang w:val="es-MX"/>
                <w14:ligatures w14:val="standardContextual"/>
              </w:rPr>
              <w:t>Spoteo</w:t>
            </w:r>
            <w:proofErr w:type="spellEnd"/>
            <w:r w:rsidRPr="00D11425">
              <w:rPr>
                <w:rFonts w:ascii="Noto Sans" w:eastAsiaTheme="minorHAnsi" w:hAnsi="Noto Sans" w:cs="Noto Sans"/>
                <w:b/>
                <w:bCs/>
                <w:kern w:val="2"/>
                <w:sz w:val="16"/>
                <w:szCs w:val="16"/>
                <w:lang w:val="es-MX"/>
                <w14:ligatures w14:val="standardContextual"/>
              </w:rPr>
              <w:t xml:space="preserve"> en pantallas digitales en espacios públicos</w:t>
            </w:r>
          </w:p>
          <w:p w14:paraId="2C7CDDF3" w14:textId="65DA176A" w:rsidR="00D11425" w:rsidRPr="00D11425" w:rsidRDefault="00D11425" w:rsidP="00D11425">
            <w:pPr>
              <w:spacing w:after="160"/>
              <w:jc w:val="both"/>
              <w:rPr>
                <w:rFonts w:ascii="Noto Sans" w:eastAsiaTheme="minorHAnsi" w:hAnsi="Noto Sans" w:cs="Noto Sans"/>
                <w:kern w:val="2"/>
                <w:sz w:val="16"/>
                <w:szCs w:val="16"/>
                <w:lang w:val="es-MX"/>
                <w14:ligatures w14:val="standardContextual"/>
              </w:rPr>
            </w:pPr>
            <w:r w:rsidRPr="00D11425">
              <w:rPr>
                <w:rFonts w:ascii="Noto Sans" w:eastAsiaTheme="minorHAnsi" w:hAnsi="Noto Sans" w:cs="Noto Sans"/>
                <w:kern w:val="2"/>
                <w:sz w:val="16"/>
                <w:szCs w:val="16"/>
                <w:lang w:val="es-MX"/>
                <w14:ligatures w14:val="standardContextual"/>
              </w:rPr>
              <w:t xml:space="preserve">Difusión de las campañas institucionales </w:t>
            </w:r>
            <w:r w:rsidR="004F4F07">
              <w:rPr>
                <w:rFonts w:ascii="Noto Sans" w:eastAsiaTheme="minorHAnsi" w:hAnsi="Noto Sans" w:cs="Noto Sans"/>
                <w:kern w:val="2"/>
                <w:sz w:val="16"/>
                <w:szCs w:val="16"/>
                <w:lang w:val="es-MX"/>
                <w14:ligatures w14:val="standardContextual"/>
              </w:rPr>
              <w:t>2026</w:t>
            </w:r>
            <w:r w:rsidRPr="00D11425">
              <w:rPr>
                <w:rFonts w:ascii="Noto Sans" w:eastAsiaTheme="minorHAnsi" w:hAnsi="Noto Sans" w:cs="Noto Sans"/>
                <w:kern w:val="2"/>
                <w:sz w:val="16"/>
                <w:szCs w:val="16"/>
                <w:lang w:val="es-MX"/>
                <w14:ligatures w14:val="standardContextual"/>
              </w:rPr>
              <w:t xml:space="preserve">, en los espacios publicitarios a través de spots en pantallas de televisión con las que el proveedor cuenta durante la vigencia del servicio, a indicación expresa de </w:t>
            </w:r>
            <w:r w:rsidRPr="00D11425">
              <w:rPr>
                <w:rFonts w:ascii="Noto Sans" w:eastAsiaTheme="minorHAnsi" w:hAnsi="Noto Sans" w:cs="Noto Sans"/>
                <w:b/>
                <w:bCs/>
                <w:kern w:val="2"/>
                <w:sz w:val="16"/>
                <w:szCs w:val="16"/>
                <w:lang w:val="es-MX"/>
                <w14:ligatures w14:val="standardContextual"/>
              </w:rPr>
              <w:t>EL INSTITUTO,</w:t>
            </w:r>
            <w:r w:rsidRPr="00D11425">
              <w:rPr>
                <w:rFonts w:ascii="Noto Sans" w:eastAsiaTheme="minorHAnsi" w:hAnsi="Noto Sans" w:cs="Noto Sans"/>
                <w:kern w:val="2"/>
                <w:sz w:val="16"/>
                <w:szCs w:val="16"/>
                <w:lang w:val="es-MX"/>
                <w14:ligatures w14:val="standardContextual"/>
              </w:rPr>
              <w:t xml:space="preserve"> mediante las órdenes de servicio correspondientes.</w:t>
            </w:r>
          </w:p>
        </w:tc>
        <w:tc>
          <w:tcPr>
            <w:tcW w:w="263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D5B79C9" w14:textId="77777777" w:rsidR="00D11425" w:rsidRPr="00D11425" w:rsidRDefault="00D11425" w:rsidP="00D11425">
            <w:pPr>
              <w:spacing w:after="160"/>
              <w:jc w:val="both"/>
              <w:rPr>
                <w:rFonts w:ascii="Noto Sans" w:eastAsiaTheme="minorHAnsi" w:hAnsi="Noto Sans" w:cs="Noto Sans"/>
                <w:kern w:val="2"/>
                <w:sz w:val="16"/>
                <w:szCs w:val="16"/>
                <w:lang w:val="es-MX"/>
                <w14:ligatures w14:val="standardContextual"/>
              </w:rPr>
            </w:pPr>
            <w:r w:rsidRPr="00D11425">
              <w:rPr>
                <w:rFonts w:ascii="Noto Sans" w:eastAsiaTheme="minorHAnsi" w:hAnsi="Noto Sans" w:cs="Noto Sans"/>
                <w:kern w:val="2"/>
                <w:sz w:val="16"/>
                <w:szCs w:val="16"/>
                <w:lang w:val="es-MX"/>
                <w14:ligatures w14:val="standardContextual"/>
              </w:rPr>
              <w:t xml:space="preserve">El </w:t>
            </w:r>
            <w:r w:rsidRPr="00D11425">
              <w:rPr>
                <w:rFonts w:ascii="Noto Sans" w:eastAsiaTheme="minorHAnsi" w:hAnsi="Noto Sans" w:cs="Noto Sans"/>
                <w:b/>
                <w:bCs/>
                <w:kern w:val="2"/>
                <w:sz w:val="16"/>
                <w:szCs w:val="16"/>
                <w:lang w:val="es-MX"/>
                <w14:ligatures w14:val="standardContextual"/>
              </w:rPr>
              <w:t>50%</w:t>
            </w:r>
            <w:r w:rsidRPr="00D11425">
              <w:rPr>
                <w:rFonts w:ascii="Noto Sans" w:eastAsiaTheme="minorHAnsi" w:hAnsi="Noto Sans" w:cs="Noto Sans"/>
                <w:kern w:val="2"/>
                <w:sz w:val="16"/>
                <w:szCs w:val="16"/>
                <w:lang w:val="es-MX"/>
                <w14:ligatures w14:val="standardContextual"/>
              </w:rPr>
              <w:t xml:space="preserve"> de testigos fotográficos de los espacios publicitarios (estaciones, autobuses, central de autobuses, entre otros) en donde se aprecie la ubicación de las pantallas y en la misma se visualicen las campañas de </w:t>
            </w:r>
            <w:r w:rsidRPr="00D11425">
              <w:rPr>
                <w:rFonts w:ascii="Noto Sans" w:eastAsiaTheme="minorHAnsi" w:hAnsi="Noto Sans" w:cs="Noto Sans"/>
                <w:b/>
                <w:bCs/>
                <w:kern w:val="2"/>
                <w:sz w:val="16"/>
                <w:szCs w:val="16"/>
                <w:lang w:val="es-MX"/>
                <w14:ligatures w14:val="standardContextual"/>
              </w:rPr>
              <w:t>EL INSTITUTO.</w:t>
            </w:r>
          </w:p>
        </w:tc>
        <w:tc>
          <w:tcPr>
            <w:tcW w:w="1417"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95BEAF0" w14:textId="77777777" w:rsidR="00D11425" w:rsidRPr="00D11425" w:rsidRDefault="00D11425" w:rsidP="00D11425">
            <w:pPr>
              <w:spacing w:after="160"/>
              <w:jc w:val="both"/>
              <w:rPr>
                <w:rFonts w:ascii="Noto Sans" w:eastAsiaTheme="minorHAnsi" w:hAnsi="Noto Sans" w:cs="Noto Sans"/>
                <w:kern w:val="2"/>
                <w:sz w:val="16"/>
                <w:szCs w:val="16"/>
                <w:lang w:val="es-MX"/>
                <w14:ligatures w14:val="standardContextual"/>
              </w:rPr>
            </w:pPr>
            <w:r w:rsidRPr="00D11425">
              <w:rPr>
                <w:rFonts w:ascii="Noto Sans" w:eastAsiaTheme="minorHAnsi" w:hAnsi="Noto Sans" w:cs="Noto Sans"/>
                <w:kern w:val="2"/>
                <w:sz w:val="16"/>
                <w:szCs w:val="16"/>
                <w:lang w:val="es-MX"/>
                <w14:ligatures w14:val="standardContextual"/>
              </w:rPr>
              <w:t>Por la entrega parcial o deficiente de los testigos de los espacios solicitados en cada orden de servicio.</w:t>
            </w:r>
          </w:p>
        </w:tc>
        <w:tc>
          <w:tcPr>
            <w:tcW w:w="1985"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6650C7A3" w14:textId="77777777" w:rsidR="00D11425" w:rsidRPr="00D11425" w:rsidRDefault="00D11425" w:rsidP="00D11425">
            <w:pPr>
              <w:spacing w:after="160"/>
              <w:jc w:val="both"/>
              <w:rPr>
                <w:rFonts w:ascii="Noto Sans" w:eastAsiaTheme="minorHAnsi" w:hAnsi="Noto Sans" w:cs="Noto Sans"/>
                <w:kern w:val="2"/>
                <w:sz w:val="16"/>
                <w:szCs w:val="16"/>
                <w:lang w:val="es-MX"/>
                <w14:ligatures w14:val="standardContextual"/>
              </w:rPr>
            </w:pPr>
            <w:r w:rsidRPr="00D11425">
              <w:rPr>
                <w:rFonts w:ascii="Noto Sans" w:eastAsiaTheme="minorHAnsi" w:hAnsi="Noto Sans" w:cs="Noto Sans"/>
                <w:kern w:val="2"/>
                <w:sz w:val="16"/>
                <w:szCs w:val="16"/>
                <w:lang w:val="es-MX"/>
                <w14:ligatures w14:val="standardContextual"/>
              </w:rPr>
              <w:t xml:space="preserve">Se descontarán los espacios afectados y se aplicará el </w:t>
            </w:r>
            <w:r w:rsidRPr="00D11425">
              <w:rPr>
                <w:rFonts w:ascii="Noto Sans" w:eastAsiaTheme="minorHAnsi" w:hAnsi="Noto Sans" w:cs="Noto Sans"/>
                <w:b/>
                <w:bCs/>
                <w:kern w:val="2"/>
                <w:sz w:val="16"/>
                <w:szCs w:val="16"/>
                <w:lang w:val="es-MX"/>
                <w14:ligatures w14:val="standardContextual"/>
              </w:rPr>
              <w:t>10%</w:t>
            </w:r>
            <w:r w:rsidRPr="00D11425">
              <w:rPr>
                <w:rFonts w:ascii="Noto Sans" w:eastAsiaTheme="minorHAnsi" w:hAnsi="Noto Sans" w:cs="Noto Sans"/>
                <w:kern w:val="2"/>
                <w:sz w:val="16"/>
                <w:szCs w:val="16"/>
                <w:lang w:val="es-MX"/>
                <w14:ligatures w14:val="standardContextual"/>
              </w:rPr>
              <w:t xml:space="preserve"> del valor de lo incumplido sin IVA; en caso de que EL PROVEEDOR reincida en la afectación de los servicios prestados, este porcentaje incrementará en </w:t>
            </w:r>
            <w:r w:rsidRPr="00D11425">
              <w:rPr>
                <w:rFonts w:ascii="Noto Sans" w:eastAsiaTheme="minorHAnsi" w:hAnsi="Noto Sans" w:cs="Noto Sans"/>
                <w:b/>
                <w:bCs/>
                <w:kern w:val="2"/>
                <w:sz w:val="16"/>
                <w:szCs w:val="16"/>
                <w:lang w:val="es-MX"/>
                <w14:ligatures w14:val="standardContextual"/>
              </w:rPr>
              <w:t>5%</w:t>
            </w:r>
            <w:r w:rsidRPr="00D11425">
              <w:rPr>
                <w:rFonts w:ascii="Noto Sans" w:eastAsiaTheme="minorHAnsi" w:hAnsi="Noto Sans" w:cs="Noto Sans"/>
                <w:kern w:val="2"/>
                <w:sz w:val="16"/>
                <w:szCs w:val="16"/>
                <w:lang w:val="es-MX"/>
                <w14:ligatures w14:val="standardContextual"/>
              </w:rPr>
              <w:t xml:space="preserve"> en cada ocasión en que una orden de servicio se vea afectada.</w:t>
            </w:r>
          </w:p>
        </w:tc>
        <w:tc>
          <w:tcPr>
            <w:tcW w:w="1915"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40798DF" w14:textId="77777777" w:rsidR="00D11425" w:rsidRPr="00D11425" w:rsidRDefault="00D11425" w:rsidP="00D11425">
            <w:pPr>
              <w:spacing w:after="160"/>
              <w:jc w:val="both"/>
              <w:rPr>
                <w:rFonts w:ascii="Noto Sans" w:eastAsiaTheme="minorHAnsi" w:hAnsi="Noto Sans" w:cs="Noto Sans"/>
                <w:kern w:val="2"/>
                <w:sz w:val="16"/>
                <w:szCs w:val="16"/>
                <w:lang w:val="es-MX"/>
                <w14:ligatures w14:val="standardContextual"/>
              </w:rPr>
            </w:pPr>
            <w:r w:rsidRPr="00D11425">
              <w:rPr>
                <w:rFonts w:ascii="Noto Sans" w:eastAsiaTheme="minorHAnsi" w:hAnsi="Noto Sans" w:cs="Noto Sans"/>
                <w:kern w:val="2"/>
                <w:sz w:val="16"/>
                <w:szCs w:val="16"/>
                <w:lang w:val="es-MX"/>
                <w14:ligatures w14:val="standardContextual"/>
              </w:rPr>
              <w:t>Será hasta por el monto de la garantía de cumplimiento o del 20% del monto de los servicios entregados o prestados fuera del plazo convenido, en caso de que no le aplique la entrega de la garantía.</w:t>
            </w:r>
          </w:p>
        </w:tc>
      </w:tr>
      <w:tr w:rsidR="00D11425" w:rsidRPr="00D11425" w14:paraId="3833F28F" w14:textId="77777777" w:rsidTr="005342AD">
        <w:trPr>
          <w:trHeight w:val="541"/>
          <w:jc w:val="center"/>
        </w:trPr>
        <w:tc>
          <w:tcPr>
            <w:tcW w:w="2324" w:type="dxa"/>
            <w:vMerge/>
            <w:tcBorders>
              <w:top w:val="single" w:sz="4" w:space="0" w:color="666666"/>
              <w:left w:val="single" w:sz="4" w:space="0" w:color="666666"/>
              <w:bottom w:val="single" w:sz="4" w:space="0" w:color="666666"/>
              <w:right w:val="single" w:sz="4" w:space="0" w:color="666666"/>
            </w:tcBorders>
            <w:vAlign w:val="center"/>
            <w:hideMark/>
          </w:tcPr>
          <w:p w14:paraId="481433EB" w14:textId="77777777" w:rsidR="00D11425" w:rsidRPr="00D11425" w:rsidRDefault="00D11425" w:rsidP="00D11425">
            <w:pPr>
              <w:spacing w:after="160" w:line="278" w:lineRule="auto"/>
              <w:rPr>
                <w:rFonts w:ascii="Noto Sans" w:eastAsiaTheme="minorHAnsi" w:hAnsi="Noto Sans" w:cs="Noto Sans"/>
                <w:kern w:val="2"/>
                <w:sz w:val="16"/>
                <w:szCs w:val="16"/>
                <w:lang w:val="es-MX"/>
                <w14:ligatures w14:val="standardContextual"/>
              </w:rPr>
            </w:pPr>
          </w:p>
        </w:tc>
        <w:tc>
          <w:tcPr>
            <w:tcW w:w="263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A188853" w14:textId="77777777" w:rsidR="00D11425" w:rsidRPr="00D11425" w:rsidRDefault="00D11425" w:rsidP="00D11425">
            <w:pPr>
              <w:spacing w:after="160"/>
              <w:jc w:val="both"/>
              <w:rPr>
                <w:rFonts w:ascii="Noto Sans" w:eastAsiaTheme="minorHAnsi" w:hAnsi="Noto Sans" w:cs="Noto Sans"/>
                <w:kern w:val="2"/>
                <w:sz w:val="16"/>
                <w:szCs w:val="16"/>
                <w:lang w:val="es-MX"/>
                <w14:ligatures w14:val="standardContextual"/>
              </w:rPr>
            </w:pPr>
            <w:r w:rsidRPr="00D11425">
              <w:rPr>
                <w:rFonts w:ascii="Noto Sans" w:eastAsiaTheme="minorHAnsi" w:hAnsi="Noto Sans" w:cs="Noto Sans"/>
                <w:b/>
                <w:bCs/>
                <w:kern w:val="2"/>
                <w:sz w:val="16"/>
                <w:szCs w:val="16"/>
                <w:lang w:val="es-MX"/>
                <w14:ligatures w14:val="standardContextual"/>
              </w:rPr>
              <w:t>Relación</w:t>
            </w:r>
            <w:r w:rsidRPr="00D11425">
              <w:rPr>
                <w:rFonts w:ascii="Noto Sans" w:eastAsiaTheme="minorHAnsi" w:hAnsi="Noto Sans" w:cs="Noto Sans"/>
                <w:kern w:val="2"/>
                <w:sz w:val="16"/>
                <w:szCs w:val="16"/>
                <w:lang w:val="es-MX"/>
                <w14:ligatures w14:val="standardContextual"/>
              </w:rPr>
              <w:t xml:space="preserve"> (impresa) del </w:t>
            </w:r>
            <w:r w:rsidRPr="00D11425">
              <w:rPr>
                <w:rFonts w:ascii="Noto Sans" w:eastAsiaTheme="minorHAnsi" w:hAnsi="Noto Sans" w:cs="Noto Sans"/>
                <w:b/>
                <w:bCs/>
                <w:kern w:val="2"/>
                <w:sz w:val="16"/>
                <w:szCs w:val="16"/>
                <w:lang w:val="es-MX"/>
                <w14:ligatures w14:val="standardContextual"/>
              </w:rPr>
              <w:t>100%</w:t>
            </w:r>
            <w:r w:rsidRPr="00D11425">
              <w:rPr>
                <w:rFonts w:ascii="Noto Sans" w:eastAsiaTheme="minorHAnsi" w:hAnsi="Noto Sans" w:cs="Noto Sans"/>
                <w:kern w:val="2"/>
                <w:sz w:val="16"/>
                <w:szCs w:val="16"/>
                <w:lang w:val="es-MX"/>
                <w14:ligatures w14:val="standardContextual"/>
              </w:rPr>
              <w:t xml:space="preserve"> de los espacios solicitados (estaciones, autobuses, central de autobuses, entre otros), </w:t>
            </w:r>
            <w:r w:rsidRPr="00D11425">
              <w:rPr>
                <w:rFonts w:ascii="Noto Sans" w:eastAsiaTheme="minorHAnsi" w:hAnsi="Noto Sans" w:cs="Noto Sans"/>
                <w:b/>
                <w:bCs/>
                <w:kern w:val="2"/>
                <w:sz w:val="16"/>
                <w:szCs w:val="16"/>
                <w:lang w:val="es-MX"/>
                <w14:ligatures w14:val="standardContextual"/>
              </w:rPr>
              <w:t>bitácora</w:t>
            </w:r>
            <w:r w:rsidRPr="00D11425">
              <w:rPr>
                <w:rFonts w:ascii="Noto Sans" w:eastAsiaTheme="minorHAnsi" w:hAnsi="Noto Sans" w:cs="Noto Sans"/>
                <w:kern w:val="2"/>
                <w:sz w:val="16"/>
                <w:szCs w:val="16"/>
                <w:lang w:val="es-MX"/>
                <w14:ligatures w14:val="standardContextual"/>
              </w:rPr>
              <w:t xml:space="preserve"> (en Excel y en formato PDF) que deberá contener como mínimo plaza y/o cobertura, campaña, fecha, hora, número total de spots y duración, y </w:t>
            </w:r>
            <w:r w:rsidRPr="00D11425">
              <w:rPr>
                <w:rFonts w:ascii="Noto Sans" w:eastAsiaTheme="minorHAnsi" w:hAnsi="Noto Sans" w:cs="Noto Sans"/>
                <w:b/>
                <w:bCs/>
                <w:kern w:val="2"/>
                <w:sz w:val="16"/>
                <w:szCs w:val="16"/>
                <w:lang w:val="es-MX"/>
                <w14:ligatures w14:val="standardContextual"/>
              </w:rPr>
              <w:t>reporte ejecutivo</w:t>
            </w:r>
            <w:r w:rsidRPr="00D11425">
              <w:rPr>
                <w:rFonts w:ascii="Noto Sans" w:eastAsiaTheme="minorHAnsi" w:hAnsi="Noto Sans" w:cs="Noto Sans"/>
                <w:kern w:val="2"/>
                <w:sz w:val="16"/>
                <w:szCs w:val="16"/>
                <w:lang w:val="es-MX"/>
                <w14:ligatures w14:val="standardContextual"/>
              </w:rPr>
              <w:t xml:space="preserve"> (impreso) </w:t>
            </w:r>
            <w:r w:rsidRPr="00D11425">
              <w:rPr>
                <w:rFonts w:ascii="Noto Sans" w:eastAsiaTheme="minorHAnsi" w:hAnsi="Noto Sans" w:cs="Noto Sans"/>
                <w:kern w:val="2"/>
                <w:sz w:val="16"/>
                <w:szCs w:val="16"/>
                <w:lang w:val="es-MX"/>
                <w14:ligatures w14:val="standardContextual"/>
              </w:rPr>
              <w:lastRenderedPageBreak/>
              <w:t>que contenga los datos representativos de la información contenida en la bitácora.</w:t>
            </w:r>
          </w:p>
        </w:tc>
        <w:tc>
          <w:tcPr>
            <w:tcW w:w="1417" w:type="dxa"/>
            <w:vMerge/>
            <w:tcBorders>
              <w:top w:val="single" w:sz="4" w:space="0" w:color="666666"/>
              <w:left w:val="single" w:sz="4" w:space="0" w:color="666666"/>
              <w:bottom w:val="single" w:sz="4" w:space="0" w:color="666666"/>
              <w:right w:val="single" w:sz="4" w:space="0" w:color="666666"/>
            </w:tcBorders>
            <w:vAlign w:val="center"/>
            <w:hideMark/>
          </w:tcPr>
          <w:p w14:paraId="2A32BCB5" w14:textId="77777777" w:rsidR="00D11425" w:rsidRPr="00D11425" w:rsidRDefault="00D11425" w:rsidP="00D11425">
            <w:pPr>
              <w:spacing w:after="160" w:line="278" w:lineRule="auto"/>
              <w:rPr>
                <w:rFonts w:ascii="Noto Sans" w:eastAsiaTheme="minorHAnsi" w:hAnsi="Noto Sans" w:cs="Noto Sans"/>
                <w:kern w:val="2"/>
                <w:sz w:val="16"/>
                <w:szCs w:val="16"/>
                <w:lang w:val="es-MX"/>
                <w14:ligatures w14:val="standardContextual"/>
              </w:rPr>
            </w:pPr>
          </w:p>
        </w:tc>
        <w:tc>
          <w:tcPr>
            <w:tcW w:w="1985" w:type="dxa"/>
            <w:vMerge/>
            <w:tcBorders>
              <w:top w:val="single" w:sz="4" w:space="0" w:color="666666"/>
              <w:left w:val="single" w:sz="4" w:space="0" w:color="666666"/>
              <w:bottom w:val="single" w:sz="4" w:space="0" w:color="666666"/>
              <w:right w:val="single" w:sz="4" w:space="0" w:color="666666"/>
            </w:tcBorders>
            <w:vAlign w:val="center"/>
            <w:hideMark/>
          </w:tcPr>
          <w:p w14:paraId="777E3C73" w14:textId="77777777" w:rsidR="00D11425" w:rsidRPr="00D11425" w:rsidRDefault="00D11425" w:rsidP="00D11425">
            <w:pPr>
              <w:spacing w:after="160" w:line="278" w:lineRule="auto"/>
              <w:rPr>
                <w:rFonts w:ascii="Noto Sans" w:eastAsiaTheme="minorHAnsi" w:hAnsi="Noto Sans" w:cs="Noto Sans"/>
                <w:kern w:val="2"/>
                <w:sz w:val="16"/>
                <w:szCs w:val="16"/>
                <w:lang w:val="es-MX"/>
                <w14:ligatures w14:val="standardContextual"/>
              </w:rPr>
            </w:pPr>
          </w:p>
        </w:tc>
        <w:tc>
          <w:tcPr>
            <w:tcW w:w="1915" w:type="dxa"/>
            <w:vMerge/>
            <w:tcBorders>
              <w:top w:val="single" w:sz="4" w:space="0" w:color="666666"/>
              <w:left w:val="single" w:sz="4" w:space="0" w:color="666666"/>
              <w:bottom w:val="single" w:sz="4" w:space="0" w:color="666666"/>
              <w:right w:val="single" w:sz="4" w:space="0" w:color="666666"/>
            </w:tcBorders>
            <w:vAlign w:val="center"/>
            <w:hideMark/>
          </w:tcPr>
          <w:p w14:paraId="40E1F9AB" w14:textId="77777777" w:rsidR="00D11425" w:rsidRPr="00D11425" w:rsidRDefault="00D11425" w:rsidP="00D11425">
            <w:pPr>
              <w:spacing w:after="160" w:line="278" w:lineRule="auto"/>
              <w:rPr>
                <w:rFonts w:ascii="Noto Sans" w:eastAsiaTheme="minorHAnsi" w:hAnsi="Noto Sans" w:cs="Noto Sans"/>
                <w:kern w:val="2"/>
                <w:sz w:val="16"/>
                <w:szCs w:val="16"/>
                <w:lang w:val="es-MX"/>
                <w14:ligatures w14:val="standardContextual"/>
              </w:rPr>
            </w:pPr>
          </w:p>
        </w:tc>
      </w:tr>
    </w:tbl>
    <w:p w14:paraId="761DA75C" w14:textId="77777777" w:rsidR="002A3AE2" w:rsidRDefault="002A3AE2" w:rsidP="002A3AE2">
      <w:pPr>
        <w:jc w:val="both"/>
        <w:rPr>
          <w:rFonts w:ascii="Noto Sans" w:eastAsia="Times New Roman" w:hAnsi="Noto Sans" w:cs="Noto Sans"/>
          <w:b/>
          <w:bCs/>
          <w:sz w:val="20"/>
          <w:szCs w:val="20"/>
          <w:lang w:val="es-MX" w:eastAsia="es-MX"/>
        </w:rPr>
      </w:pPr>
    </w:p>
    <w:p w14:paraId="12C4A4C7" w14:textId="46A2FF01" w:rsidR="00D11425" w:rsidRPr="00D11425" w:rsidRDefault="00D11425" w:rsidP="00D11425">
      <w:pPr>
        <w:spacing w:after="240" w:line="276" w:lineRule="auto"/>
        <w:jc w:val="both"/>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SPOTS DE AUDIO EN ESPACIOS PÚBLICOS, RESTAURANTES, PLAZAS COMERCIALES Y TIENDAS DE AUTOSERVICIO ENTRE OTROS</w:t>
      </w:r>
    </w:p>
    <w:tbl>
      <w:tblPr>
        <w:tblW w:w="10201" w:type="dxa"/>
        <w:jc w:val="center"/>
        <w:tblCellMar>
          <w:top w:w="15" w:type="dxa"/>
          <w:left w:w="15" w:type="dxa"/>
          <w:bottom w:w="15" w:type="dxa"/>
          <w:right w:w="15" w:type="dxa"/>
        </w:tblCellMar>
        <w:tblLook w:val="04A0" w:firstRow="1" w:lastRow="0" w:firstColumn="1" w:lastColumn="0" w:noHBand="0" w:noVBand="1"/>
      </w:tblPr>
      <w:tblGrid>
        <w:gridCol w:w="2263"/>
        <w:gridCol w:w="2410"/>
        <w:gridCol w:w="1276"/>
        <w:gridCol w:w="1843"/>
        <w:gridCol w:w="2409"/>
      </w:tblGrid>
      <w:tr w:rsidR="00D11425" w:rsidRPr="00D11425" w14:paraId="0747934E" w14:textId="77777777" w:rsidTr="005342AD">
        <w:trPr>
          <w:jc w:val="center"/>
        </w:trPr>
        <w:tc>
          <w:tcPr>
            <w:tcW w:w="226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1CF22024"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Concepto y obligación</w:t>
            </w:r>
          </w:p>
        </w:tc>
        <w:tc>
          <w:tcPr>
            <w:tcW w:w="2410"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0FC7C140"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Nivel de servicio</w:t>
            </w:r>
          </w:p>
        </w:tc>
        <w:tc>
          <w:tcPr>
            <w:tcW w:w="1276"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D4D6241"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Unidad de medida</w:t>
            </w:r>
          </w:p>
        </w:tc>
        <w:tc>
          <w:tcPr>
            <w:tcW w:w="184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1CBF45AF"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Deducción</w:t>
            </w:r>
          </w:p>
        </w:tc>
        <w:tc>
          <w:tcPr>
            <w:tcW w:w="2409"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0E11DF7"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Límite de incumplimiento</w:t>
            </w:r>
          </w:p>
        </w:tc>
      </w:tr>
      <w:tr w:rsidR="00D11425" w:rsidRPr="00D11425" w14:paraId="183BF1CA" w14:textId="77777777" w:rsidTr="005342AD">
        <w:trPr>
          <w:trHeight w:val="160"/>
          <w:jc w:val="center"/>
        </w:trPr>
        <w:tc>
          <w:tcPr>
            <w:tcW w:w="226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5FEAD380"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b/>
                <w:bCs/>
                <w:color w:val="000000"/>
                <w:sz w:val="16"/>
                <w:szCs w:val="16"/>
                <w:lang w:val="es-MX" w:eastAsia="es-MX"/>
              </w:rPr>
              <w:t>Spots de audio en espacios públicos, restaurantes, plazas comerciales y tiendas de autoservicio entre otros</w:t>
            </w:r>
          </w:p>
          <w:p w14:paraId="4EC0D03B" w14:textId="77777777" w:rsidR="00D11425" w:rsidRPr="00D11425" w:rsidRDefault="00D11425" w:rsidP="00D11425">
            <w:pPr>
              <w:rPr>
                <w:rFonts w:ascii="Noto Sans" w:eastAsia="Times New Roman" w:hAnsi="Noto Sans" w:cs="Noto Sans"/>
                <w:sz w:val="16"/>
                <w:szCs w:val="16"/>
                <w:lang w:val="es-MX" w:eastAsia="es-MX"/>
              </w:rPr>
            </w:pPr>
          </w:p>
          <w:p w14:paraId="56015581" w14:textId="5DA6779F" w:rsidR="00D11425" w:rsidRPr="00D11425" w:rsidRDefault="00D11425" w:rsidP="00D11425">
            <w:pPr>
              <w:spacing w:line="276" w:lineRule="auto"/>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 xml:space="preserve">Difusión de las campañas institucionales </w:t>
            </w:r>
            <w:r w:rsidR="004F4F07">
              <w:rPr>
                <w:rFonts w:ascii="Noto Sans" w:eastAsia="Times New Roman" w:hAnsi="Noto Sans" w:cs="Noto Sans"/>
                <w:color w:val="000000"/>
                <w:sz w:val="16"/>
                <w:szCs w:val="16"/>
                <w:lang w:val="es-MX" w:eastAsia="es-MX"/>
              </w:rPr>
              <w:t>2026</w:t>
            </w:r>
            <w:r w:rsidRPr="00D11425">
              <w:rPr>
                <w:rFonts w:ascii="Noto Sans" w:eastAsia="Times New Roman" w:hAnsi="Noto Sans" w:cs="Noto Sans"/>
                <w:color w:val="000000"/>
                <w:sz w:val="16"/>
                <w:szCs w:val="16"/>
                <w:lang w:val="es-MX" w:eastAsia="es-MX"/>
              </w:rPr>
              <w:t xml:space="preserve">, en los espacios publicitarios a través de spots de radio en Salas cinematográficas, tiendas de autoservicio, entre otros, con las que el proveedor cuenta durante la vigencia del servicio, a indicación expresa de </w:t>
            </w:r>
            <w:r w:rsidRPr="00D11425">
              <w:rPr>
                <w:rFonts w:ascii="Noto Sans" w:eastAsia="Times New Roman" w:hAnsi="Noto Sans" w:cs="Noto Sans"/>
                <w:b/>
                <w:bCs/>
                <w:color w:val="000000"/>
                <w:sz w:val="16"/>
                <w:szCs w:val="16"/>
                <w:lang w:val="es-MX" w:eastAsia="es-MX"/>
              </w:rPr>
              <w:t>EL INSTITUTO</w:t>
            </w:r>
            <w:r w:rsidRPr="00D11425">
              <w:rPr>
                <w:rFonts w:ascii="Noto Sans" w:eastAsia="Times New Roman" w:hAnsi="Noto Sans" w:cs="Noto Sans"/>
                <w:color w:val="000000"/>
                <w:sz w:val="16"/>
                <w:szCs w:val="16"/>
                <w:lang w:val="es-MX" w:eastAsia="es-MX"/>
              </w:rPr>
              <w:t>, mediante las órdenes de servicio correspondientes.</w:t>
            </w:r>
          </w:p>
          <w:p w14:paraId="0C3A0930" w14:textId="77777777" w:rsidR="00D11425" w:rsidRPr="00D11425" w:rsidRDefault="00D11425" w:rsidP="00D11425">
            <w:pPr>
              <w:rPr>
                <w:rFonts w:ascii="Noto Sans" w:eastAsia="Times New Roman" w:hAnsi="Noto Sans" w:cs="Noto Sans"/>
                <w:sz w:val="16"/>
                <w:szCs w:val="16"/>
                <w:lang w:val="es-MX" w:eastAsia="es-MX"/>
              </w:rPr>
            </w:pPr>
          </w:p>
        </w:tc>
        <w:tc>
          <w:tcPr>
            <w:tcW w:w="2410"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297F2951" w14:textId="77777777" w:rsidR="00D11425" w:rsidRPr="00D11425" w:rsidRDefault="00D11425" w:rsidP="00D11425">
            <w:pPr>
              <w:spacing w:line="276" w:lineRule="auto"/>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 xml:space="preserve">El </w:t>
            </w:r>
            <w:r w:rsidRPr="00D11425">
              <w:rPr>
                <w:rFonts w:ascii="Noto Sans" w:eastAsia="Times New Roman" w:hAnsi="Noto Sans" w:cs="Noto Sans"/>
                <w:b/>
                <w:bCs/>
                <w:color w:val="000000"/>
                <w:sz w:val="16"/>
                <w:szCs w:val="16"/>
                <w:lang w:val="es-MX" w:eastAsia="es-MX"/>
              </w:rPr>
              <w:t>25%</w:t>
            </w:r>
            <w:r w:rsidRPr="00D11425">
              <w:rPr>
                <w:rFonts w:ascii="Noto Sans" w:eastAsia="Times New Roman" w:hAnsi="Noto Sans" w:cs="Noto Sans"/>
                <w:color w:val="000000"/>
                <w:sz w:val="16"/>
                <w:szCs w:val="16"/>
                <w:lang w:val="es-MX" w:eastAsia="es-MX"/>
              </w:rPr>
              <w:t xml:space="preserve"> de videos de manera aleatoria de los espacios (salas cinematográficas, tiendas de autoservicio, entre otros), en donde se aprecie el interior del espacio, así como el audio de las campañas de</w:t>
            </w:r>
            <w:r w:rsidRPr="00D11425">
              <w:rPr>
                <w:rFonts w:ascii="Noto Sans" w:eastAsia="Times New Roman" w:hAnsi="Noto Sans" w:cs="Noto Sans"/>
                <w:b/>
                <w:bCs/>
                <w:color w:val="000000"/>
                <w:sz w:val="16"/>
                <w:szCs w:val="16"/>
                <w:lang w:val="es-MX" w:eastAsia="es-MX"/>
              </w:rPr>
              <w:t xml:space="preserve"> EL INSTITUTO.</w:t>
            </w:r>
          </w:p>
        </w:tc>
        <w:tc>
          <w:tcPr>
            <w:tcW w:w="1276"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0E60C8B8" w14:textId="77777777" w:rsidR="00D11425" w:rsidRPr="00D11425" w:rsidRDefault="00D11425" w:rsidP="00D11425">
            <w:pPr>
              <w:spacing w:line="276" w:lineRule="auto"/>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Por la entrega parcial o deficiente de los testigos de los espacios solicitados en cada orden de servicio.</w:t>
            </w:r>
          </w:p>
        </w:tc>
        <w:tc>
          <w:tcPr>
            <w:tcW w:w="184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3200E87A" w14:textId="77777777" w:rsidR="00D11425" w:rsidRPr="00D11425" w:rsidRDefault="00D11425" w:rsidP="00D11425">
            <w:pPr>
              <w:spacing w:line="276" w:lineRule="auto"/>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Se descontarán los espacios afectados y se aplicará el</w:t>
            </w:r>
            <w:r w:rsidRPr="00D11425">
              <w:rPr>
                <w:rFonts w:ascii="Noto Sans" w:eastAsia="Times New Roman" w:hAnsi="Noto Sans" w:cs="Noto Sans"/>
                <w:b/>
                <w:bCs/>
                <w:color w:val="000000"/>
                <w:sz w:val="16"/>
                <w:szCs w:val="16"/>
                <w:lang w:val="es-MX" w:eastAsia="es-MX"/>
              </w:rPr>
              <w:t xml:space="preserve"> 10%</w:t>
            </w:r>
            <w:r w:rsidRPr="00D11425">
              <w:rPr>
                <w:rFonts w:ascii="Noto Sans" w:eastAsia="Times New Roman" w:hAnsi="Noto Sans" w:cs="Noto Sans"/>
                <w:color w:val="000000"/>
                <w:sz w:val="16"/>
                <w:szCs w:val="16"/>
                <w:lang w:val="es-MX" w:eastAsia="es-MX"/>
              </w:rPr>
              <w:t xml:space="preserve"> del valor de lo incumplido sin IVA; en caso de que EL PROVEEDOR reincida en la afectación de los servicios prestados, este porcentaje incrementará en </w:t>
            </w:r>
            <w:r w:rsidRPr="00D11425">
              <w:rPr>
                <w:rFonts w:ascii="Noto Sans" w:eastAsia="Times New Roman" w:hAnsi="Noto Sans" w:cs="Noto Sans"/>
                <w:b/>
                <w:bCs/>
                <w:color w:val="000000"/>
                <w:sz w:val="16"/>
                <w:szCs w:val="16"/>
                <w:lang w:val="es-MX" w:eastAsia="es-MX"/>
              </w:rPr>
              <w:t>5%</w:t>
            </w:r>
            <w:r w:rsidRPr="00D11425">
              <w:rPr>
                <w:rFonts w:ascii="Noto Sans" w:eastAsia="Times New Roman" w:hAnsi="Noto Sans" w:cs="Noto Sans"/>
                <w:color w:val="000000"/>
                <w:sz w:val="16"/>
                <w:szCs w:val="16"/>
                <w:lang w:val="es-MX" w:eastAsia="es-MX"/>
              </w:rPr>
              <w:t xml:space="preserve"> en cada ocasión en que una orden de servicio se vea afectada.</w:t>
            </w:r>
          </w:p>
        </w:tc>
        <w:tc>
          <w:tcPr>
            <w:tcW w:w="2409"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67E35B8C" w14:textId="77777777" w:rsidR="00D11425" w:rsidRPr="00D11425" w:rsidRDefault="00D11425" w:rsidP="00D11425">
            <w:pPr>
              <w:spacing w:line="276" w:lineRule="auto"/>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Será hasta por el monto de la garantía de cumplimiento o del 20% del monto de los servicios entregados o prestados fuera del plazo convenido, en caso de que no le aplique la entrega de la garantía.</w:t>
            </w:r>
          </w:p>
        </w:tc>
      </w:tr>
      <w:tr w:rsidR="00D11425" w:rsidRPr="00D11425" w14:paraId="7626D55F" w14:textId="77777777" w:rsidTr="005342AD">
        <w:trPr>
          <w:trHeight w:val="4768"/>
          <w:jc w:val="center"/>
        </w:trPr>
        <w:tc>
          <w:tcPr>
            <w:tcW w:w="2263" w:type="dxa"/>
            <w:vMerge/>
            <w:tcBorders>
              <w:top w:val="single" w:sz="4" w:space="0" w:color="666666"/>
              <w:left w:val="single" w:sz="4" w:space="0" w:color="666666"/>
              <w:bottom w:val="single" w:sz="4" w:space="0" w:color="666666"/>
              <w:right w:val="single" w:sz="4" w:space="0" w:color="666666"/>
            </w:tcBorders>
            <w:vAlign w:val="center"/>
            <w:hideMark/>
          </w:tcPr>
          <w:p w14:paraId="4EB78363" w14:textId="77777777" w:rsidR="00D11425" w:rsidRPr="00D11425" w:rsidRDefault="00D11425" w:rsidP="00D11425">
            <w:pPr>
              <w:rPr>
                <w:rFonts w:ascii="Noto Sans" w:eastAsia="Times New Roman" w:hAnsi="Noto Sans" w:cs="Noto Sans"/>
                <w:sz w:val="16"/>
                <w:szCs w:val="16"/>
                <w:lang w:val="es-MX" w:eastAsia="es-MX"/>
              </w:rPr>
            </w:pPr>
          </w:p>
        </w:tc>
        <w:tc>
          <w:tcPr>
            <w:tcW w:w="2410"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1383EDC" w14:textId="77777777" w:rsidR="00D11425" w:rsidRPr="00D11425" w:rsidRDefault="00D11425" w:rsidP="00D11425">
            <w:pPr>
              <w:spacing w:line="276" w:lineRule="auto"/>
              <w:jc w:val="both"/>
              <w:rPr>
                <w:rFonts w:ascii="Noto Sans" w:eastAsia="Times New Roman" w:hAnsi="Noto Sans" w:cs="Noto Sans"/>
                <w:sz w:val="16"/>
                <w:szCs w:val="16"/>
                <w:lang w:val="es-MX" w:eastAsia="es-MX"/>
              </w:rPr>
            </w:pPr>
            <w:r w:rsidRPr="00D11425">
              <w:rPr>
                <w:rFonts w:ascii="Noto Sans" w:eastAsia="Times New Roman" w:hAnsi="Noto Sans" w:cs="Noto Sans"/>
                <w:b/>
                <w:bCs/>
                <w:color w:val="000000"/>
                <w:sz w:val="16"/>
                <w:szCs w:val="16"/>
                <w:lang w:val="es-MX" w:eastAsia="es-MX"/>
              </w:rPr>
              <w:t>Relación</w:t>
            </w:r>
            <w:r w:rsidRPr="00D11425">
              <w:rPr>
                <w:rFonts w:ascii="Noto Sans" w:eastAsia="Times New Roman" w:hAnsi="Noto Sans" w:cs="Noto Sans"/>
                <w:color w:val="000000"/>
                <w:sz w:val="16"/>
                <w:szCs w:val="16"/>
                <w:lang w:val="es-MX" w:eastAsia="es-MX"/>
              </w:rPr>
              <w:t xml:space="preserve"> (impresa) del </w:t>
            </w:r>
            <w:r w:rsidRPr="00D11425">
              <w:rPr>
                <w:rFonts w:ascii="Noto Sans" w:eastAsia="Times New Roman" w:hAnsi="Noto Sans" w:cs="Noto Sans"/>
                <w:b/>
                <w:bCs/>
                <w:color w:val="000000"/>
                <w:sz w:val="16"/>
                <w:szCs w:val="16"/>
                <w:lang w:val="es-MX" w:eastAsia="es-MX"/>
              </w:rPr>
              <w:t xml:space="preserve">100% </w:t>
            </w:r>
            <w:r w:rsidRPr="00D11425">
              <w:rPr>
                <w:rFonts w:ascii="Noto Sans" w:eastAsia="Times New Roman" w:hAnsi="Noto Sans" w:cs="Noto Sans"/>
                <w:color w:val="000000"/>
                <w:sz w:val="16"/>
                <w:szCs w:val="16"/>
                <w:lang w:val="es-MX" w:eastAsia="es-MX"/>
              </w:rPr>
              <w:t xml:space="preserve">de los espacios solicitados (salas cinematográficas, tiendas de autoservicio, entre otros), </w:t>
            </w:r>
            <w:r w:rsidRPr="00D11425">
              <w:rPr>
                <w:rFonts w:ascii="Noto Sans" w:eastAsia="Times New Roman" w:hAnsi="Noto Sans" w:cs="Noto Sans"/>
                <w:b/>
                <w:bCs/>
                <w:color w:val="000000"/>
                <w:sz w:val="16"/>
                <w:szCs w:val="16"/>
                <w:lang w:val="es-MX" w:eastAsia="es-MX"/>
              </w:rPr>
              <w:t>bitácora</w:t>
            </w:r>
            <w:r w:rsidRPr="00D11425">
              <w:rPr>
                <w:rFonts w:ascii="Noto Sans" w:eastAsia="Times New Roman" w:hAnsi="Noto Sans" w:cs="Noto Sans"/>
                <w:color w:val="000000"/>
                <w:sz w:val="16"/>
                <w:szCs w:val="16"/>
                <w:lang w:val="es-MX" w:eastAsia="es-MX"/>
              </w:rPr>
              <w:t xml:space="preserve"> (en Excel y en formato PDF) que deberá contener como mínimo plaza y/o cobertura, campaña, fecha, hora, número total de spots y duración, y </w:t>
            </w:r>
            <w:r w:rsidRPr="00D11425">
              <w:rPr>
                <w:rFonts w:ascii="Noto Sans" w:eastAsia="Times New Roman" w:hAnsi="Noto Sans" w:cs="Noto Sans"/>
                <w:b/>
                <w:bCs/>
                <w:color w:val="000000"/>
                <w:sz w:val="16"/>
                <w:szCs w:val="16"/>
                <w:lang w:val="es-MX" w:eastAsia="es-MX"/>
              </w:rPr>
              <w:t>reporte ejecutivo</w:t>
            </w:r>
            <w:r w:rsidRPr="00D11425">
              <w:rPr>
                <w:rFonts w:ascii="Noto Sans" w:eastAsia="Times New Roman" w:hAnsi="Noto Sans" w:cs="Noto Sans"/>
                <w:color w:val="000000"/>
                <w:sz w:val="16"/>
                <w:szCs w:val="16"/>
                <w:lang w:val="es-MX" w:eastAsia="es-MX"/>
              </w:rPr>
              <w:t xml:space="preserve"> (impreso) que contenga los datos representativos de la información contenida en la bitácora.</w:t>
            </w:r>
          </w:p>
          <w:p w14:paraId="15D06C38" w14:textId="77777777" w:rsidR="00D11425" w:rsidRPr="00D11425" w:rsidRDefault="00D11425" w:rsidP="00D11425">
            <w:pPr>
              <w:spacing w:after="240"/>
              <w:rPr>
                <w:rFonts w:ascii="Noto Sans" w:eastAsia="Times New Roman" w:hAnsi="Noto Sans" w:cs="Noto Sans"/>
                <w:sz w:val="16"/>
                <w:szCs w:val="16"/>
                <w:lang w:val="es-MX" w:eastAsia="es-MX"/>
              </w:rPr>
            </w:pPr>
          </w:p>
        </w:tc>
        <w:tc>
          <w:tcPr>
            <w:tcW w:w="1276" w:type="dxa"/>
            <w:vMerge/>
            <w:tcBorders>
              <w:top w:val="single" w:sz="4" w:space="0" w:color="666666"/>
              <w:left w:val="single" w:sz="4" w:space="0" w:color="666666"/>
              <w:bottom w:val="single" w:sz="4" w:space="0" w:color="666666"/>
              <w:right w:val="single" w:sz="4" w:space="0" w:color="666666"/>
            </w:tcBorders>
            <w:vAlign w:val="center"/>
            <w:hideMark/>
          </w:tcPr>
          <w:p w14:paraId="77D46234" w14:textId="77777777" w:rsidR="00D11425" w:rsidRPr="00D11425" w:rsidRDefault="00D11425" w:rsidP="00D11425">
            <w:pPr>
              <w:rPr>
                <w:rFonts w:ascii="Noto Sans" w:eastAsia="Times New Roman" w:hAnsi="Noto Sans" w:cs="Noto Sans"/>
                <w:sz w:val="16"/>
                <w:szCs w:val="16"/>
                <w:lang w:val="es-MX" w:eastAsia="es-MX"/>
              </w:rPr>
            </w:pPr>
          </w:p>
        </w:tc>
        <w:tc>
          <w:tcPr>
            <w:tcW w:w="1843" w:type="dxa"/>
            <w:vMerge/>
            <w:tcBorders>
              <w:top w:val="single" w:sz="4" w:space="0" w:color="666666"/>
              <w:left w:val="single" w:sz="4" w:space="0" w:color="666666"/>
              <w:bottom w:val="single" w:sz="4" w:space="0" w:color="666666"/>
              <w:right w:val="single" w:sz="4" w:space="0" w:color="666666"/>
            </w:tcBorders>
            <w:vAlign w:val="center"/>
            <w:hideMark/>
          </w:tcPr>
          <w:p w14:paraId="29C85822" w14:textId="77777777" w:rsidR="00D11425" w:rsidRPr="00D11425" w:rsidRDefault="00D11425" w:rsidP="00D11425">
            <w:pPr>
              <w:rPr>
                <w:rFonts w:ascii="Noto Sans" w:eastAsia="Times New Roman" w:hAnsi="Noto Sans" w:cs="Noto Sans"/>
                <w:sz w:val="16"/>
                <w:szCs w:val="16"/>
                <w:lang w:val="es-MX" w:eastAsia="es-MX"/>
              </w:rPr>
            </w:pPr>
          </w:p>
        </w:tc>
        <w:tc>
          <w:tcPr>
            <w:tcW w:w="2409" w:type="dxa"/>
            <w:vMerge/>
            <w:tcBorders>
              <w:top w:val="single" w:sz="4" w:space="0" w:color="666666"/>
              <w:left w:val="single" w:sz="4" w:space="0" w:color="666666"/>
              <w:bottom w:val="single" w:sz="4" w:space="0" w:color="666666"/>
              <w:right w:val="single" w:sz="4" w:space="0" w:color="666666"/>
            </w:tcBorders>
            <w:vAlign w:val="center"/>
            <w:hideMark/>
          </w:tcPr>
          <w:p w14:paraId="05E9D1EB" w14:textId="77777777" w:rsidR="00D11425" w:rsidRPr="00D11425" w:rsidRDefault="00D11425" w:rsidP="00D11425">
            <w:pPr>
              <w:rPr>
                <w:rFonts w:ascii="Noto Sans" w:eastAsia="Times New Roman" w:hAnsi="Noto Sans" w:cs="Noto Sans"/>
                <w:sz w:val="16"/>
                <w:szCs w:val="16"/>
                <w:lang w:val="es-MX" w:eastAsia="es-MX"/>
              </w:rPr>
            </w:pPr>
          </w:p>
        </w:tc>
      </w:tr>
    </w:tbl>
    <w:p w14:paraId="4AD495C5"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588294EF" w14:textId="77777777" w:rsidR="00D11425" w:rsidRPr="00D11425" w:rsidRDefault="00D11425" w:rsidP="00D11425">
      <w:pPr>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br w:type="page"/>
      </w:r>
    </w:p>
    <w:p w14:paraId="5F4447C5" w14:textId="77777777" w:rsidR="00D11425" w:rsidRDefault="00D11425" w:rsidP="002A3AE2">
      <w:pPr>
        <w:spacing w:line="276" w:lineRule="auto"/>
        <w:jc w:val="both"/>
        <w:rPr>
          <w:rFonts w:ascii="Noto Sans" w:eastAsia="Times New Roman" w:hAnsi="Noto Sans" w:cs="Noto Sans"/>
          <w:b/>
          <w:bCs/>
          <w:sz w:val="20"/>
          <w:szCs w:val="20"/>
          <w:lang w:val="es-MX" w:eastAsia="es-MX"/>
        </w:rPr>
      </w:pPr>
    </w:p>
    <w:p w14:paraId="24988405" w14:textId="0B087A30" w:rsidR="00D11425" w:rsidRPr="00D11425" w:rsidRDefault="00D11425" w:rsidP="00D11425">
      <w:pPr>
        <w:spacing w:after="240" w:line="276" w:lineRule="auto"/>
        <w:jc w:val="both"/>
        <w:rPr>
          <w:rFonts w:ascii="Noto Sans" w:eastAsia="Times New Roman" w:hAnsi="Noto Sans" w:cs="Noto Sans"/>
          <w:b/>
          <w:bCs/>
          <w:sz w:val="20"/>
          <w:szCs w:val="20"/>
          <w:lang w:val="es-MX" w:eastAsia="es-MX"/>
        </w:rPr>
      </w:pPr>
      <w:r w:rsidRPr="00D11425">
        <w:rPr>
          <w:rFonts w:ascii="Noto Sans" w:eastAsia="Times New Roman" w:hAnsi="Noto Sans" w:cs="Noto Sans"/>
          <w:b/>
          <w:bCs/>
          <w:sz w:val="20"/>
          <w:szCs w:val="20"/>
          <w:lang w:val="es-MX" w:eastAsia="es-MX"/>
        </w:rPr>
        <w:t>ANUNCIOS EN CONEXIONES DE DISPOSITIVO MÓVIL DENTRO DE REDES PRIVADAS DE INTERNET EN ESPACIOS PÚBLICOS</w:t>
      </w:r>
    </w:p>
    <w:tbl>
      <w:tblPr>
        <w:tblW w:w="10490" w:type="dxa"/>
        <w:jc w:val="center"/>
        <w:tblCellMar>
          <w:top w:w="15" w:type="dxa"/>
          <w:left w:w="15" w:type="dxa"/>
          <w:bottom w:w="15" w:type="dxa"/>
          <w:right w:w="15" w:type="dxa"/>
        </w:tblCellMar>
        <w:tblLook w:val="04A0" w:firstRow="1" w:lastRow="0" w:firstColumn="1" w:lastColumn="0" w:noHBand="0" w:noVBand="1"/>
      </w:tblPr>
      <w:tblGrid>
        <w:gridCol w:w="2743"/>
        <w:gridCol w:w="2691"/>
        <w:gridCol w:w="1370"/>
        <w:gridCol w:w="1413"/>
        <w:gridCol w:w="2273"/>
      </w:tblGrid>
      <w:tr w:rsidR="00D11425" w:rsidRPr="00D11425" w14:paraId="150BE2DF" w14:textId="77777777" w:rsidTr="005342AD">
        <w:trPr>
          <w:jc w:val="center"/>
        </w:trPr>
        <w:tc>
          <w:tcPr>
            <w:tcW w:w="274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0A0D7C93"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Concepto y obligación</w:t>
            </w:r>
          </w:p>
        </w:tc>
        <w:tc>
          <w:tcPr>
            <w:tcW w:w="2691"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4270D531"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Nivel de servicio</w:t>
            </w:r>
          </w:p>
        </w:tc>
        <w:tc>
          <w:tcPr>
            <w:tcW w:w="1370"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7DAF7EB5"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Unidad de medida</w:t>
            </w:r>
          </w:p>
        </w:tc>
        <w:tc>
          <w:tcPr>
            <w:tcW w:w="141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509CD1A6"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Deducción</w:t>
            </w:r>
          </w:p>
        </w:tc>
        <w:tc>
          <w:tcPr>
            <w:tcW w:w="2273"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2B23BCBA" w14:textId="77777777" w:rsidR="00D11425" w:rsidRPr="00D11425" w:rsidRDefault="00D11425" w:rsidP="00D11425">
            <w:pPr>
              <w:jc w:val="center"/>
              <w:rPr>
                <w:rFonts w:ascii="Noto Sans" w:eastAsia="Times New Roman" w:hAnsi="Noto Sans" w:cs="Noto Sans"/>
                <w:b/>
                <w:bCs/>
                <w:sz w:val="16"/>
                <w:szCs w:val="16"/>
                <w:lang w:val="es-MX" w:eastAsia="es-MX"/>
              </w:rPr>
            </w:pPr>
            <w:r w:rsidRPr="00D11425">
              <w:rPr>
                <w:rFonts w:ascii="Noto Sans" w:eastAsia="Times New Roman" w:hAnsi="Noto Sans" w:cs="Noto Sans"/>
                <w:b/>
                <w:bCs/>
                <w:color w:val="000000"/>
                <w:sz w:val="16"/>
                <w:szCs w:val="16"/>
                <w:lang w:val="es-MX" w:eastAsia="es-MX"/>
              </w:rPr>
              <w:t>Límite de incumplimiento</w:t>
            </w:r>
          </w:p>
        </w:tc>
      </w:tr>
      <w:tr w:rsidR="00D11425" w:rsidRPr="00D11425" w14:paraId="1C35BD98" w14:textId="77777777" w:rsidTr="005342AD">
        <w:trPr>
          <w:trHeight w:val="2175"/>
          <w:jc w:val="center"/>
        </w:trPr>
        <w:tc>
          <w:tcPr>
            <w:tcW w:w="274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040B3A71"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b/>
                <w:bCs/>
                <w:color w:val="000000"/>
                <w:sz w:val="16"/>
                <w:szCs w:val="16"/>
                <w:lang w:val="es-MX" w:eastAsia="es-MX"/>
              </w:rPr>
              <w:t>Anuncios en conexiones de dispositivo móvil dentro de redes privadas de internet en espacios públicos</w:t>
            </w:r>
          </w:p>
          <w:p w14:paraId="3DCDA1B8" w14:textId="77777777" w:rsidR="00D11425" w:rsidRPr="00D11425" w:rsidRDefault="00D11425" w:rsidP="00D11425">
            <w:pPr>
              <w:rPr>
                <w:rFonts w:ascii="Noto Sans" w:eastAsia="Times New Roman" w:hAnsi="Noto Sans" w:cs="Noto Sans"/>
                <w:sz w:val="16"/>
                <w:szCs w:val="16"/>
                <w:lang w:val="es-MX" w:eastAsia="es-MX"/>
              </w:rPr>
            </w:pPr>
          </w:p>
          <w:p w14:paraId="14C1F12E" w14:textId="22CC89ED"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 xml:space="preserve">Difusión de las campañas institucionales </w:t>
            </w:r>
            <w:r w:rsidR="004F4F07">
              <w:rPr>
                <w:rFonts w:ascii="Noto Sans" w:eastAsia="Times New Roman" w:hAnsi="Noto Sans" w:cs="Noto Sans"/>
                <w:color w:val="000000"/>
                <w:sz w:val="16"/>
                <w:szCs w:val="16"/>
                <w:lang w:val="es-MX" w:eastAsia="es-MX"/>
              </w:rPr>
              <w:t>2026</w:t>
            </w:r>
            <w:r w:rsidRPr="00D11425">
              <w:rPr>
                <w:rFonts w:ascii="Noto Sans" w:eastAsia="Times New Roman" w:hAnsi="Noto Sans" w:cs="Noto Sans"/>
                <w:color w:val="000000"/>
                <w:sz w:val="16"/>
                <w:szCs w:val="16"/>
                <w:lang w:val="es-MX" w:eastAsia="es-MX"/>
              </w:rPr>
              <w:t xml:space="preserve">, en dispositivos celulares a través de la red con la que el proveedor cuenta durante la vigencia del servicio, a indicación expresa de </w:t>
            </w:r>
            <w:r w:rsidRPr="00D11425">
              <w:rPr>
                <w:rFonts w:ascii="Noto Sans" w:eastAsia="Times New Roman" w:hAnsi="Noto Sans" w:cs="Noto Sans"/>
                <w:b/>
                <w:bCs/>
                <w:color w:val="000000"/>
                <w:sz w:val="16"/>
                <w:szCs w:val="16"/>
                <w:lang w:val="es-MX" w:eastAsia="es-MX"/>
              </w:rPr>
              <w:t>EL INSTITUTO,</w:t>
            </w:r>
            <w:r w:rsidRPr="00D11425">
              <w:rPr>
                <w:rFonts w:ascii="Noto Sans" w:eastAsia="Times New Roman" w:hAnsi="Noto Sans" w:cs="Noto Sans"/>
                <w:color w:val="000000"/>
                <w:sz w:val="16"/>
                <w:szCs w:val="16"/>
                <w:lang w:val="es-MX" w:eastAsia="es-MX"/>
              </w:rPr>
              <w:t xml:space="preserve"> mediante las órdenes de servicio correspondientes.</w:t>
            </w:r>
          </w:p>
        </w:tc>
        <w:tc>
          <w:tcPr>
            <w:tcW w:w="2691"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6F4E2350"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b/>
                <w:bCs/>
                <w:color w:val="000000"/>
                <w:sz w:val="16"/>
                <w:szCs w:val="16"/>
                <w:lang w:val="es-MX" w:eastAsia="es-MX"/>
              </w:rPr>
              <w:t>Bitácora</w:t>
            </w:r>
            <w:r w:rsidRPr="00D11425">
              <w:rPr>
                <w:rFonts w:ascii="Noto Sans" w:eastAsia="Times New Roman" w:hAnsi="Noto Sans" w:cs="Noto Sans"/>
                <w:color w:val="000000"/>
                <w:sz w:val="16"/>
                <w:szCs w:val="16"/>
                <w:lang w:val="es-MX" w:eastAsia="es-MX"/>
              </w:rPr>
              <w:t xml:space="preserve"> (en Excel y formato PDF) en hoja membretada, con el detalle del 100% de las conexiones solicitadas en la orden de servicio, la cual deberá contener como mínimo, fecha, hora, ubicación de la conexión, identificador de usuario, material desplegado, así como los datos generales de la campaña (versión, periodo, plaza y/o cobertura).</w:t>
            </w:r>
          </w:p>
          <w:p w14:paraId="23AD9758" w14:textId="77777777" w:rsidR="00D11425" w:rsidRPr="00D11425" w:rsidRDefault="00D11425" w:rsidP="00D11425">
            <w:pPr>
              <w:rPr>
                <w:rFonts w:ascii="Noto Sans" w:eastAsia="Times New Roman" w:hAnsi="Noto Sans" w:cs="Noto Sans"/>
                <w:sz w:val="16"/>
                <w:szCs w:val="16"/>
                <w:lang w:val="es-MX" w:eastAsia="es-MX"/>
              </w:rPr>
            </w:pPr>
          </w:p>
        </w:tc>
        <w:tc>
          <w:tcPr>
            <w:tcW w:w="1370"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5593D85E"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Por la entrega parcial o deficiente de los testigos de los espacios solicitados en cada orden de servicio.</w:t>
            </w:r>
          </w:p>
        </w:tc>
        <w:tc>
          <w:tcPr>
            <w:tcW w:w="141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23E08057"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 xml:space="preserve">Se descontarán los espacios afectados y se aplicará el 10% del valor de lo incumplido sin IVA; en caso de que EL PROVEEDOR reincida en la afectación de los servicios prestados, este porcentaje incrementará en </w:t>
            </w:r>
            <w:r w:rsidRPr="00D11425">
              <w:rPr>
                <w:rFonts w:ascii="Noto Sans" w:eastAsia="Times New Roman" w:hAnsi="Noto Sans" w:cs="Noto Sans"/>
                <w:b/>
                <w:bCs/>
                <w:color w:val="000000"/>
                <w:sz w:val="16"/>
                <w:szCs w:val="16"/>
                <w:lang w:val="es-MX" w:eastAsia="es-MX"/>
              </w:rPr>
              <w:t>5%</w:t>
            </w:r>
            <w:r w:rsidRPr="00D11425">
              <w:rPr>
                <w:rFonts w:ascii="Noto Sans" w:eastAsia="Times New Roman" w:hAnsi="Noto Sans" w:cs="Noto Sans"/>
                <w:color w:val="000000"/>
                <w:sz w:val="16"/>
                <w:szCs w:val="16"/>
                <w:lang w:val="es-MX" w:eastAsia="es-MX"/>
              </w:rPr>
              <w:t xml:space="preserve"> en cada ocasión en que una orden de servicio se vea afectada.</w:t>
            </w:r>
          </w:p>
          <w:p w14:paraId="76A85C8C" w14:textId="77777777" w:rsidR="00D11425" w:rsidRPr="00D11425" w:rsidRDefault="00D11425" w:rsidP="00D11425">
            <w:pPr>
              <w:rPr>
                <w:rFonts w:ascii="Noto Sans" w:eastAsia="Times New Roman" w:hAnsi="Noto Sans" w:cs="Noto Sans"/>
                <w:sz w:val="16"/>
                <w:szCs w:val="16"/>
                <w:lang w:val="es-MX" w:eastAsia="es-MX"/>
              </w:rPr>
            </w:pPr>
          </w:p>
        </w:tc>
        <w:tc>
          <w:tcPr>
            <w:tcW w:w="2273" w:type="dxa"/>
            <w:vMerge w:val="restart"/>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33F369FC"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Será hasta por el monto de la garantía de cumplimiento o del 20% del monto de los servicios entregados o prestados fuera del plazo convenido, en caso de que no le aplique la entrega de la garantía.</w:t>
            </w:r>
          </w:p>
        </w:tc>
      </w:tr>
      <w:tr w:rsidR="00D11425" w:rsidRPr="00D11425" w14:paraId="374549E6" w14:textId="77777777" w:rsidTr="005342AD">
        <w:trPr>
          <w:trHeight w:val="160"/>
          <w:jc w:val="center"/>
        </w:trPr>
        <w:tc>
          <w:tcPr>
            <w:tcW w:w="2743" w:type="dxa"/>
            <w:vMerge/>
            <w:tcBorders>
              <w:top w:val="single" w:sz="4" w:space="0" w:color="666666"/>
              <w:left w:val="single" w:sz="4" w:space="0" w:color="666666"/>
              <w:bottom w:val="single" w:sz="4" w:space="0" w:color="666666"/>
              <w:right w:val="single" w:sz="4" w:space="0" w:color="666666"/>
            </w:tcBorders>
            <w:vAlign w:val="center"/>
            <w:hideMark/>
          </w:tcPr>
          <w:p w14:paraId="54B729EA" w14:textId="77777777" w:rsidR="00D11425" w:rsidRPr="00D11425" w:rsidRDefault="00D11425" w:rsidP="00D11425">
            <w:pPr>
              <w:rPr>
                <w:rFonts w:ascii="Noto Sans" w:eastAsia="Times New Roman" w:hAnsi="Noto Sans" w:cs="Noto Sans"/>
                <w:sz w:val="16"/>
                <w:szCs w:val="16"/>
                <w:lang w:val="es-MX" w:eastAsia="es-MX"/>
              </w:rPr>
            </w:pPr>
          </w:p>
        </w:tc>
        <w:tc>
          <w:tcPr>
            <w:tcW w:w="2691"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11CFCA9B" w14:textId="77777777" w:rsidR="00D11425" w:rsidRPr="00D11425" w:rsidRDefault="00D11425" w:rsidP="00D11425">
            <w:pPr>
              <w:jc w:val="both"/>
              <w:rPr>
                <w:rFonts w:ascii="Noto Sans" w:eastAsia="Times New Roman" w:hAnsi="Noto Sans" w:cs="Noto Sans"/>
                <w:sz w:val="16"/>
                <w:szCs w:val="16"/>
                <w:lang w:val="es-MX" w:eastAsia="es-MX"/>
              </w:rPr>
            </w:pPr>
            <w:r w:rsidRPr="00D11425">
              <w:rPr>
                <w:rFonts w:ascii="Noto Sans" w:eastAsia="Times New Roman" w:hAnsi="Noto Sans" w:cs="Noto Sans"/>
                <w:b/>
                <w:bCs/>
                <w:color w:val="000000"/>
                <w:sz w:val="16"/>
                <w:szCs w:val="16"/>
                <w:lang w:val="es-MX" w:eastAsia="es-MX"/>
              </w:rPr>
              <w:t>Reporte Analítico</w:t>
            </w:r>
            <w:r w:rsidRPr="00D11425">
              <w:rPr>
                <w:rFonts w:ascii="Noto Sans" w:eastAsia="Times New Roman" w:hAnsi="Noto Sans" w:cs="Noto Sans"/>
                <w:color w:val="000000"/>
                <w:sz w:val="16"/>
                <w:szCs w:val="16"/>
                <w:lang w:val="es-MX" w:eastAsia="es-MX"/>
              </w:rPr>
              <w:t xml:space="preserve"> (impreso) que contenga los datos de consulta, descarga, características de la audiencia e interacción de los usuarios en las conexiones solicitadas en la campaña.</w:t>
            </w:r>
          </w:p>
        </w:tc>
        <w:tc>
          <w:tcPr>
            <w:tcW w:w="1370" w:type="dxa"/>
            <w:vMerge/>
            <w:tcBorders>
              <w:top w:val="single" w:sz="4" w:space="0" w:color="666666"/>
              <w:left w:val="single" w:sz="4" w:space="0" w:color="666666"/>
              <w:bottom w:val="single" w:sz="4" w:space="0" w:color="666666"/>
              <w:right w:val="single" w:sz="4" w:space="0" w:color="666666"/>
            </w:tcBorders>
            <w:vAlign w:val="center"/>
            <w:hideMark/>
          </w:tcPr>
          <w:p w14:paraId="6B9C528E" w14:textId="77777777" w:rsidR="00D11425" w:rsidRPr="00D11425" w:rsidRDefault="00D11425" w:rsidP="00D11425">
            <w:pPr>
              <w:rPr>
                <w:rFonts w:ascii="Noto Sans" w:eastAsia="Times New Roman" w:hAnsi="Noto Sans" w:cs="Noto Sans"/>
                <w:sz w:val="16"/>
                <w:szCs w:val="16"/>
                <w:lang w:val="es-MX" w:eastAsia="es-MX"/>
              </w:rPr>
            </w:pPr>
          </w:p>
        </w:tc>
        <w:tc>
          <w:tcPr>
            <w:tcW w:w="1413" w:type="dxa"/>
            <w:vMerge/>
            <w:tcBorders>
              <w:top w:val="single" w:sz="4" w:space="0" w:color="666666"/>
              <w:left w:val="single" w:sz="4" w:space="0" w:color="666666"/>
              <w:bottom w:val="single" w:sz="4" w:space="0" w:color="666666"/>
              <w:right w:val="single" w:sz="4" w:space="0" w:color="666666"/>
            </w:tcBorders>
            <w:vAlign w:val="center"/>
            <w:hideMark/>
          </w:tcPr>
          <w:p w14:paraId="6717FEE7" w14:textId="77777777" w:rsidR="00D11425" w:rsidRPr="00D11425" w:rsidRDefault="00D11425" w:rsidP="00D11425">
            <w:pPr>
              <w:rPr>
                <w:rFonts w:ascii="Noto Sans" w:eastAsia="Times New Roman" w:hAnsi="Noto Sans" w:cs="Noto Sans"/>
                <w:sz w:val="16"/>
                <w:szCs w:val="16"/>
                <w:lang w:val="es-MX" w:eastAsia="es-MX"/>
              </w:rPr>
            </w:pPr>
          </w:p>
        </w:tc>
        <w:tc>
          <w:tcPr>
            <w:tcW w:w="2273" w:type="dxa"/>
            <w:vMerge/>
            <w:tcBorders>
              <w:top w:val="single" w:sz="4" w:space="0" w:color="666666"/>
              <w:left w:val="single" w:sz="4" w:space="0" w:color="666666"/>
              <w:bottom w:val="single" w:sz="4" w:space="0" w:color="666666"/>
              <w:right w:val="single" w:sz="4" w:space="0" w:color="666666"/>
            </w:tcBorders>
            <w:vAlign w:val="center"/>
            <w:hideMark/>
          </w:tcPr>
          <w:p w14:paraId="1E9AE4B9" w14:textId="77777777" w:rsidR="00D11425" w:rsidRPr="00D11425" w:rsidRDefault="00D11425" w:rsidP="00D11425">
            <w:pPr>
              <w:rPr>
                <w:rFonts w:ascii="Noto Sans" w:eastAsia="Times New Roman" w:hAnsi="Noto Sans" w:cs="Noto Sans"/>
                <w:sz w:val="16"/>
                <w:szCs w:val="16"/>
                <w:lang w:val="es-MX" w:eastAsia="es-MX"/>
              </w:rPr>
            </w:pPr>
          </w:p>
        </w:tc>
      </w:tr>
      <w:tr w:rsidR="00D11425" w:rsidRPr="00D11425" w14:paraId="309C924E" w14:textId="77777777" w:rsidTr="005342AD">
        <w:trPr>
          <w:trHeight w:val="3181"/>
          <w:jc w:val="center"/>
        </w:trPr>
        <w:tc>
          <w:tcPr>
            <w:tcW w:w="2743" w:type="dxa"/>
            <w:vMerge/>
            <w:tcBorders>
              <w:top w:val="single" w:sz="4" w:space="0" w:color="666666"/>
              <w:left w:val="single" w:sz="4" w:space="0" w:color="666666"/>
              <w:bottom w:val="single" w:sz="4" w:space="0" w:color="666666"/>
              <w:right w:val="single" w:sz="4" w:space="0" w:color="666666"/>
            </w:tcBorders>
            <w:vAlign w:val="center"/>
            <w:hideMark/>
          </w:tcPr>
          <w:p w14:paraId="7830DB56" w14:textId="77777777" w:rsidR="00D11425" w:rsidRPr="00D11425" w:rsidRDefault="00D11425" w:rsidP="00D11425">
            <w:pPr>
              <w:rPr>
                <w:rFonts w:ascii="Noto Sans" w:eastAsia="Times New Roman" w:hAnsi="Noto Sans" w:cs="Noto Sans"/>
                <w:sz w:val="16"/>
                <w:szCs w:val="16"/>
                <w:lang w:val="es-MX" w:eastAsia="es-MX"/>
              </w:rPr>
            </w:pPr>
          </w:p>
        </w:tc>
        <w:tc>
          <w:tcPr>
            <w:tcW w:w="2691" w:type="dxa"/>
            <w:tcBorders>
              <w:top w:val="single" w:sz="4" w:space="0" w:color="666666"/>
              <w:left w:val="single" w:sz="4" w:space="0" w:color="666666"/>
              <w:bottom w:val="single" w:sz="4" w:space="0" w:color="666666"/>
              <w:right w:val="single" w:sz="4" w:space="0" w:color="666666"/>
            </w:tcBorders>
            <w:tcMar>
              <w:top w:w="0" w:type="dxa"/>
              <w:left w:w="115" w:type="dxa"/>
              <w:bottom w:w="0" w:type="dxa"/>
              <w:right w:w="115" w:type="dxa"/>
            </w:tcMar>
            <w:hideMark/>
          </w:tcPr>
          <w:p w14:paraId="055B69D5" w14:textId="77777777" w:rsidR="00D11425" w:rsidRPr="00D11425" w:rsidRDefault="00D11425" w:rsidP="00D11425">
            <w:pPr>
              <w:spacing w:line="276" w:lineRule="auto"/>
              <w:jc w:val="both"/>
              <w:rPr>
                <w:rFonts w:ascii="Noto Sans" w:eastAsia="Times New Roman" w:hAnsi="Noto Sans" w:cs="Noto Sans"/>
                <w:sz w:val="16"/>
                <w:szCs w:val="16"/>
                <w:lang w:val="es-MX" w:eastAsia="es-MX"/>
              </w:rPr>
            </w:pPr>
            <w:r w:rsidRPr="00D11425">
              <w:rPr>
                <w:rFonts w:ascii="Noto Sans" w:eastAsia="Times New Roman" w:hAnsi="Noto Sans" w:cs="Noto Sans"/>
                <w:color w:val="000000"/>
                <w:sz w:val="16"/>
                <w:szCs w:val="16"/>
                <w:lang w:val="es-MX" w:eastAsia="es-MX"/>
              </w:rPr>
              <w:t xml:space="preserve">Por cada orden de servicio girada </w:t>
            </w:r>
            <w:r w:rsidRPr="00D11425">
              <w:rPr>
                <w:rFonts w:ascii="Noto Sans" w:eastAsia="Times New Roman" w:hAnsi="Noto Sans" w:cs="Noto Sans"/>
                <w:b/>
                <w:bCs/>
                <w:color w:val="000000"/>
                <w:sz w:val="16"/>
                <w:szCs w:val="16"/>
                <w:lang w:val="es-MX" w:eastAsia="es-MX"/>
              </w:rPr>
              <w:t>un video</w:t>
            </w:r>
            <w:r w:rsidRPr="00D11425">
              <w:rPr>
                <w:rFonts w:ascii="Noto Sans" w:eastAsia="Times New Roman" w:hAnsi="Noto Sans" w:cs="Noto Sans"/>
                <w:color w:val="000000"/>
                <w:sz w:val="16"/>
                <w:szCs w:val="16"/>
                <w:lang w:val="es-MX" w:eastAsia="es-MX"/>
              </w:rPr>
              <w:t xml:space="preserve"> de la difusión de los materiales (video y/o imagen) de las campañas de </w:t>
            </w:r>
            <w:r w:rsidRPr="00D11425">
              <w:rPr>
                <w:rFonts w:ascii="Noto Sans" w:eastAsia="Times New Roman" w:hAnsi="Noto Sans" w:cs="Noto Sans"/>
                <w:b/>
                <w:bCs/>
                <w:color w:val="000000"/>
                <w:sz w:val="16"/>
                <w:szCs w:val="16"/>
                <w:lang w:val="es-MX" w:eastAsia="es-MX"/>
              </w:rPr>
              <w:t>EL INSTITUTO,</w:t>
            </w:r>
            <w:r w:rsidRPr="00D11425">
              <w:rPr>
                <w:rFonts w:ascii="Noto Sans" w:eastAsia="Times New Roman" w:hAnsi="Noto Sans" w:cs="Noto Sans"/>
                <w:color w:val="000000"/>
                <w:sz w:val="16"/>
                <w:szCs w:val="16"/>
                <w:lang w:val="es-MX" w:eastAsia="es-MX"/>
              </w:rPr>
              <w:t xml:space="preserve"> en éste deberá apreciarse con claridad las instalaciones donde se presta el servicio, así como el dispositivo móvil de un usuario mientras se conecta y visualiza los materiales solicitados por </w:t>
            </w:r>
            <w:r w:rsidRPr="00D11425">
              <w:rPr>
                <w:rFonts w:ascii="Noto Sans" w:eastAsia="Times New Roman" w:hAnsi="Noto Sans" w:cs="Noto Sans"/>
                <w:b/>
                <w:bCs/>
                <w:color w:val="000000"/>
                <w:sz w:val="16"/>
                <w:szCs w:val="16"/>
                <w:lang w:val="es-MX" w:eastAsia="es-MX"/>
              </w:rPr>
              <w:t>EL INSTITUTO</w:t>
            </w:r>
            <w:r w:rsidRPr="00D11425">
              <w:rPr>
                <w:rFonts w:ascii="Noto Sans" w:eastAsia="Times New Roman" w:hAnsi="Noto Sans" w:cs="Noto Sans"/>
                <w:color w:val="000000"/>
                <w:sz w:val="16"/>
                <w:szCs w:val="16"/>
                <w:lang w:val="es-MX" w:eastAsia="es-MX"/>
              </w:rPr>
              <w:t xml:space="preserve"> para su difusión.</w:t>
            </w:r>
          </w:p>
          <w:p w14:paraId="1EF7BFF6" w14:textId="77777777" w:rsidR="00D11425" w:rsidRPr="00D11425" w:rsidRDefault="00D11425" w:rsidP="00D11425">
            <w:pPr>
              <w:rPr>
                <w:rFonts w:ascii="Noto Sans" w:eastAsia="Times New Roman" w:hAnsi="Noto Sans" w:cs="Noto Sans"/>
                <w:sz w:val="16"/>
                <w:szCs w:val="16"/>
                <w:lang w:val="es-MX" w:eastAsia="es-MX"/>
              </w:rPr>
            </w:pPr>
          </w:p>
        </w:tc>
        <w:tc>
          <w:tcPr>
            <w:tcW w:w="1370" w:type="dxa"/>
            <w:vMerge/>
            <w:tcBorders>
              <w:top w:val="single" w:sz="4" w:space="0" w:color="666666"/>
              <w:left w:val="single" w:sz="4" w:space="0" w:color="666666"/>
              <w:bottom w:val="single" w:sz="4" w:space="0" w:color="666666"/>
              <w:right w:val="single" w:sz="4" w:space="0" w:color="666666"/>
            </w:tcBorders>
            <w:vAlign w:val="center"/>
            <w:hideMark/>
          </w:tcPr>
          <w:p w14:paraId="218C00F5" w14:textId="77777777" w:rsidR="00D11425" w:rsidRPr="00D11425" w:rsidRDefault="00D11425" w:rsidP="00D11425">
            <w:pPr>
              <w:rPr>
                <w:rFonts w:ascii="Noto Sans" w:eastAsia="Times New Roman" w:hAnsi="Noto Sans" w:cs="Noto Sans"/>
                <w:sz w:val="16"/>
                <w:szCs w:val="16"/>
                <w:lang w:val="es-MX" w:eastAsia="es-MX"/>
              </w:rPr>
            </w:pPr>
          </w:p>
        </w:tc>
        <w:tc>
          <w:tcPr>
            <w:tcW w:w="1413" w:type="dxa"/>
            <w:vMerge/>
            <w:tcBorders>
              <w:top w:val="single" w:sz="4" w:space="0" w:color="666666"/>
              <w:left w:val="single" w:sz="4" w:space="0" w:color="666666"/>
              <w:bottom w:val="single" w:sz="4" w:space="0" w:color="666666"/>
              <w:right w:val="single" w:sz="4" w:space="0" w:color="666666"/>
            </w:tcBorders>
            <w:vAlign w:val="center"/>
            <w:hideMark/>
          </w:tcPr>
          <w:p w14:paraId="130D8083" w14:textId="77777777" w:rsidR="00D11425" w:rsidRPr="00D11425" w:rsidRDefault="00D11425" w:rsidP="00D11425">
            <w:pPr>
              <w:rPr>
                <w:rFonts w:ascii="Noto Sans" w:eastAsia="Times New Roman" w:hAnsi="Noto Sans" w:cs="Noto Sans"/>
                <w:sz w:val="16"/>
                <w:szCs w:val="16"/>
                <w:lang w:val="es-MX" w:eastAsia="es-MX"/>
              </w:rPr>
            </w:pPr>
          </w:p>
        </w:tc>
        <w:tc>
          <w:tcPr>
            <w:tcW w:w="2273" w:type="dxa"/>
            <w:vMerge/>
            <w:tcBorders>
              <w:top w:val="single" w:sz="4" w:space="0" w:color="666666"/>
              <w:left w:val="single" w:sz="4" w:space="0" w:color="666666"/>
              <w:bottom w:val="single" w:sz="4" w:space="0" w:color="666666"/>
              <w:right w:val="single" w:sz="4" w:space="0" w:color="666666"/>
            </w:tcBorders>
            <w:vAlign w:val="center"/>
            <w:hideMark/>
          </w:tcPr>
          <w:p w14:paraId="0807DC56" w14:textId="77777777" w:rsidR="00D11425" w:rsidRPr="00D11425" w:rsidRDefault="00D11425" w:rsidP="00D11425">
            <w:pPr>
              <w:rPr>
                <w:rFonts w:ascii="Noto Sans" w:eastAsia="Times New Roman" w:hAnsi="Noto Sans" w:cs="Noto Sans"/>
                <w:sz w:val="16"/>
                <w:szCs w:val="16"/>
                <w:lang w:val="es-MX" w:eastAsia="es-MX"/>
              </w:rPr>
            </w:pPr>
          </w:p>
        </w:tc>
      </w:tr>
    </w:tbl>
    <w:p w14:paraId="01A5839F" w14:textId="77777777" w:rsidR="00D11425" w:rsidRPr="00D11425" w:rsidRDefault="00D11425" w:rsidP="00D11425">
      <w:pPr>
        <w:spacing w:line="276" w:lineRule="auto"/>
        <w:jc w:val="both"/>
        <w:rPr>
          <w:rFonts w:ascii="Noto Sans" w:eastAsia="Times New Roman" w:hAnsi="Noto Sans" w:cs="Noto Sans"/>
          <w:sz w:val="20"/>
          <w:szCs w:val="20"/>
          <w:lang w:val="es-MX" w:eastAsia="es-MX"/>
        </w:rPr>
      </w:pPr>
    </w:p>
    <w:p w14:paraId="640BF246" w14:textId="77777777" w:rsidR="00B016E8" w:rsidRPr="00B016E8" w:rsidRDefault="00D11425" w:rsidP="00227B33">
      <w:pPr>
        <w:jc w:val="both"/>
        <w:rPr>
          <w:rFonts w:ascii="Noto Sans" w:hAnsi="Noto Sans" w:cs="Noto Sans"/>
          <w:sz w:val="21"/>
          <w:szCs w:val="21"/>
          <w:lang w:val="es-MX"/>
        </w:rPr>
      </w:pPr>
      <w:r w:rsidRPr="00D11425">
        <w:rPr>
          <w:rFonts w:ascii="Noto Sans" w:eastAsia="Times New Roman" w:hAnsi="Noto Sans" w:cs="Noto Sans"/>
          <w:sz w:val="20"/>
          <w:szCs w:val="20"/>
          <w:lang w:val="es-MX" w:eastAsia="es-MX"/>
        </w:rPr>
        <w:t xml:space="preserve">Cabe señalar que el límite de incumplimiento por este concepto será hasta por el monto de la garantía de cumplimiento, o en caso de que no le aplique la garantía de cumplimiento, el límite será de hasta por el 20% del monto de los servicios entregados o prestados fuera del plazo convenido y, en caso de que se rebase éste, se aplicará a juicio del Instituto Mexicano del Seguro Social, cualquiera de las dos opciones previstas en el </w:t>
      </w:r>
      <w:r w:rsidRPr="00B016E8">
        <w:rPr>
          <w:rFonts w:ascii="Noto Sans" w:eastAsia="Times New Roman" w:hAnsi="Noto Sans" w:cs="Noto Sans"/>
          <w:sz w:val="20"/>
          <w:szCs w:val="20"/>
          <w:lang w:val="es-MX" w:eastAsia="es-MX"/>
        </w:rPr>
        <w:t xml:space="preserve">artículo </w:t>
      </w:r>
      <w:r w:rsidR="00B016E8" w:rsidRPr="00751093">
        <w:rPr>
          <w:rFonts w:ascii="Noto Sans" w:hAnsi="Noto Sans" w:cs="Noto Sans"/>
          <w:sz w:val="21"/>
          <w:szCs w:val="21"/>
          <w:lang w:val="es-MX"/>
        </w:rPr>
        <w:t>76 de la Ley de Adquisiciones,</w:t>
      </w:r>
      <w:r w:rsidR="00B016E8" w:rsidRPr="00B016E8">
        <w:rPr>
          <w:rFonts w:ascii="Noto Sans" w:hAnsi="Noto Sans" w:cs="Noto Sans"/>
          <w:sz w:val="21"/>
          <w:szCs w:val="21"/>
          <w:lang w:val="es-MX"/>
        </w:rPr>
        <w:t xml:space="preserve"> Arrendamientos y Servicios del Sector Público.</w:t>
      </w:r>
    </w:p>
    <w:p w14:paraId="395A55A6" w14:textId="77777777" w:rsidR="00B016E8" w:rsidRPr="00EE05D8" w:rsidRDefault="00B016E8" w:rsidP="00B016E8">
      <w:pPr>
        <w:spacing w:line="276" w:lineRule="auto"/>
        <w:jc w:val="both"/>
        <w:rPr>
          <w:rFonts w:ascii="Geomanist" w:hAnsi="Geomanist"/>
          <w:sz w:val="21"/>
          <w:szCs w:val="21"/>
          <w:lang w:val="es-MX"/>
        </w:rPr>
      </w:pPr>
    </w:p>
    <w:p w14:paraId="1E621722" w14:textId="1703ED31" w:rsidR="00D11425" w:rsidRPr="00D11425" w:rsidRDefault="00D11425" w:rsidP="00227B33">
      <w:pPr>
        <w:jc w:val="both"/>
        <w:rPr>
          <w:rFonts w:ascii="Noto Sans" w:eastAsia="Times New Roman" w:hAnsi="Noto Sans" w:cs="Noto Sans"/>
          <w:sz w:val="20"/>
          <w:szCs w:val="20"/>
          <w:lang w:val="es-MX" w:eastAsia="es-MX"/>
        </w:rPr>
      </w:pPr>
      <w:r w:rsidRPr="00D11425">
        <w:rPr>
          <w:rFonts w:ascii="Noto Sans" w:eastAsia="Times New Roman" w:hAnsi="Noto Sans" w:cs="Noto Sans"/>
          <w:sz w:val="20"/>
          <w:szCs w:val="20"/>
          <w:lang w:val="es-MX" w:eastAsia="es-MX"/>
        </w:rPr>
        <w:lastRenderedPageBreak/>
        <w:t xml:space="preserve">La falta de veracidad total o parcial respecto a la información, documentos, testigos y demás entregables que sean proporcionados por </w:t>
      </w:r>
      <w:r w:rsidRPr="00D11425">
        <w:rPr>
          <w:rFonts w:ascii="Noto Sans" w:eastAsia="Times New Roman" w:hAnsi="Noto Sans" w:cs="Noto Sans"/>
          <w:b/>
          <w:bCs/>
          <w:sz w:val="20"/>
          <w:szCs w:val="20"/>
          <w:lang w:val="es-MX" w:eastAsia="es-MX"/>
        </w:rPr>
        <w:t>EL PROVEEDOR</w:t>
      </w:r>
      <w:r w:rsidRPr="00D11425">
        <w:rPr>
          <w:rFonts w:ascii="Noto Sans" w:eastAsia="Times New Roman" w:hAnsi="Noto Sans" w:cs="Noto Sans"/>
          <w:sz w:val="20"/>
          <w:szCs w:val="20"/>
          <w:lang w:val="es-MX" w:eastAsia="es-MX"/>
        </w:rPr>
        <w:t xml:space="preserve"> a </w:t>
      </w:r>
      <w:r w:rsidRPr="00D11425">
        <w:rPr>
          <w:rFonts w:ascii="Noto Sans" w:eastAsia="Times New Roman" w:hAnsi="Noto Sans" w:cs="Noto Sans"/>
          <w:b/>
          <w:bCs/>
          <w:sz w:val="20"/>
          <w:szCs w:val="20"/>
          <w:lang w:val="es-MX" w:eastAsia="es-MX"/>
        </w:rPr>
        <w:t>EL INSTITUTO</w:t>
      </w:r>
      <w:r w:rsidRPr="00D11425">
        <w:rPr>
          <w:rFonts w:ascii="Noto Sans" w:eastAsia="Times New Roman" w:hAnsi="Noto Sans" w:cs="Noto Sans"/>
          <w:sz w:val="20"/>
          <w:szCs w:val="20"/>
          <w:lang w:val="es-MX" w:eastAsia="es-MX"/>
        </w:rPr>
        <w:t xml:space="preserve">, será causal de rescisión inmediata del contrato que se celebre, sin más responsabilidad para </w:t>
      </w:r>
      <w:r w:rsidRPr="00D11425">
        <w:rPr>
          <w:rFonts w:ascii="Noto Sans" w:eastAsia="Times New Roman" w:hAnsi="Noto Sans" w:cs="Noto Sans"/>
          <w:b/>
          <w:bCs/>
          <w:sz w:val="20"/>
          <w:szCs w:val="20"/>
          <w:lang w:val="es-MX" w:eastAsia="es-MX"/>
        </w:rPr>
        <w:t>EL INSTITUTO</w:t>
      </w:r>
      <w:r w:rsidRPr="00D11425">
        <w:rPr>
          <w:rFonts w:ascii="Noto Sans" w:eastAsia="Times New Roman" w:hAnsi="Noto Sans" w:cs="Noto Sans"/>
          <w:sz w:val="20"/>
          <w:szCs w:val="20"/>
          <w:lang w:val="es-MX" w:eastAsia="es-MX"/>
        </w:rPr>
        <w:t xml:space="preserve">, sin necesidad de resolución judicial y sin perjuicio de las acciones civiles, administrativas y penales que procedan en contra de </w:t>
      </w:r>
      <w:r w:rsidRPr="00D11425">
        <w:rPr>
          <w:rFonts w:ascii="Noto Sans" w:eastAsia="Times New Roman" w:hAnsi="Noto Sans" w:cs="Noto Sans"/>
          <w:b/>
          <w:bCs/>
          <w:sz w:val="20"/>
          <w:szCs w:val="20"/>
          <w:lang w:val="es-MX" w:eastAsia="es-MX"/>
        </w:rPr>
        <w:t>EL PROVEEDOR</w:t>
      </w:r>
      <w:r w:rsidRPr="00D11425">
        <w:rPr>
          <w:rFonts w:ascii="Noto Sans" w:eastAsia="Times New Roman" w:hAnsi="Noto Sans" w:cs="Noto Sans"/>
          <w:sz w:val="20"/>
          <w:szCs w:val="20"/>
          <w:lang w:val="es-MX" w:eastAsia="es-MX"/>
        </w:rPr>
        <w:t>.</w:t>
      </w:r>
    </w:p>
    <w:p w14:paraId="341E421A" w14:textId="77777777" w:rsidR="00D11425" w:rsidRPr="002A3AE2" w:rsidRDefault="00D11425" w:rsidP="00D11425">
      <w:pPr>
        <w:spacing w:line="276" w:lineRule="auto"/>
        <w:jc w:val="both"/>
        <w:rPr>
          <w:rFonts w:ascii="Noto Sans" w:eastAsia="Times New Roman" w:hAnsi="Noto Sans" w:cs="Noto Sans"/>
          <w:sz w:val="12"/>
          <w:szCs w:val="12"/>
          <w:lang w:val="es-MX" w:eastAsia="es-MX"/>
        </w:rPr>
      </w:pPr>
    </w:p>
    <w:p w14:paraId="31BDC964" w14:textId="30818E93" w:rsidR="00B016E8" w:rsidRPr="00D63CDD" w:rsidRDefault="00B016E8" w:rsidP="00B016E8">
      <w:pPr>
        <w:jc w:val="both"/>
        <w:rPr>
          <w:rFonts w:ascii="Noto Sans" w:hAnsi="Noto Sans" w:cs="Noto Sans"/>
          <w:b/>
          <w:bCs/>
          <w:sz w:val="20"/>
          <w:szCs w:val="20"/>
          <w:lang w:val="es-MX"/>
        </w:rPr>
      </w:pPr>
      <w:r w:rsidRPr="00D63CDD">
        <w:rPr>
          <w:rFonts w:ascii="Noto Sans" w:hAnsi="Noto Sans" w:cs="Noto Sans"/>
          <w:b/>
          <w:bCs/>
          <w:sz w:val="20"/>
          <w:szCs w:val="20"/>
          <w:lang w:val="es-MX"/>
        </w:rPr>
        <w:t xml:space="preserve">h.3) Justificación del incremento en el porcentaje máximo establecido en el apartado 5.5.8, inciso e, de las Políticas, Bases y Lineamientos en materia de Adquisiciones, Arrendamientos y Servicios del Instituto Mexicano del Seguro Social, (POBALINES), para la aplicación de penas convencionales y deductivas, respecto a la prestación del SERVICIO DE DIFUSIÓN DE LAS CAMPAÑAS INSTITUCIONALES </w:t>
      </w:r>
      <w:r w:rsidR="004F4F07">
        <w:rPr>
          <w:rFonts w:ascii="Noto Sans" w:hAnsi="Noto Sans" w:cs="Noto Sans"/>
          <w:b/>
          <w:bCs/>
          <w:sz w:val="20"/>
          <w:szCs w:val="20"/>
          <w:lang w:val="es-MX"/>
        </w:rPr>
        <w:t>2026</w:t>
      </w:r>
      <w:r w:rsidRPr="00D63CDD">
        <w:rPr>
          <w:rFonts w:ascii="Noto Sans" w:hAnsi="Noto Sans" w:cs="Noto Sans"/>
          <w:b/>
          <w:bCs/>
          <w:sz w:val="20"/>
          <w:szCs w:val="20"/>
          <w:lang w:val="es-MX"/>
        </w:rPr>
        <w:t>, A TRAVÉS DE MEDIOS DE COMUNICACIÓN ELECTRÓNICOS, IMPRESOS, DIGITALES Y COMPLEMENTARIOS.</w:t>
      </w:r>
    </w:p>
    <w:p w14:paraId="58E3C79C" w14:textId="77777777" w:rsidR="00B016E8" w:rsidRPr="002A3AE2" w:rsidRDefault="00B016E8" w:rsidP="00B016E8">
      <w:pPr>
        <w:jc w:val="both"/>
        <w:rPr>
          <w:rFonts w:ascii="Noto Sans" w:hAnsi="Noto Sans" w:cs="Noto Sans"/>
          <w:sz w:val="12"/>
          <w:szCs w:val="12"/>
          <w:lang w:val="es-MX"/>
        </w:rPr>
      </w:pPr>
    </w:p>
    <w:p w14:paraId="356D940C" w14:textId="4DAB85C1"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 xml:space="preserve">El servicio que se </w:t>
      </w:r>
      <w:r w:rsidR="00751093" w:rsidRPr="00D63CDD">
        <w:rPr>
          <w:rFonts w:ascii="Noto Sans" w:hAnsi="Noto Sans" w:cs="Noto Sans"/>
          <w:sz w:val="20"/>
          <w:szCs w:val="20"/>
          <w:lang w:val="es-MX"/>
        </w:rPr>
        <w:t>propone</w:t>
      </w:r>
      <w:r w:rsidRPr="00D63CDD">
        <w:rPr>
          <w:rFonts w:ascii="Noto Sans" w:hAnsi="Noto Sans" w:cs="Noto Sans"/>
          <w:sz w:val="20"/>
          <w:szCs w:val="20"/>
          <w:lang w:val="es-MX"/>
        </w:rPr>
        <w:t xml:space="preserve"> consiste en la contratación de espacios para la difusión de las Campañas Institucionales </w:t>
      </w:r>
      <w:r w:rsidR="004F4F07">
        <w:rPr>
          <w:rFonts w:ascii="Noto Sans" w:hAnsi="Noto Sans" w:cs="Noto Sans"/>
          <w:sz w:val="20"/>
          <w:szCs w:val="20"/>
          <w:lang w:val="es-MX"/>
        </w:rPr>
        <w:t>2026</w:t>
      </w:r>
      <w:r w:rsidRPr="00D63CDD">
        <w:rPr>
          <w:rFonts w:ascii="Noto Sans" w:hAnsi="Noto Sans" w:cs="Noto Sans"/>
          <w:sz w:val="20"/>
          <w:szCs w:val="20"/>
          <w:lang w:val="es-MX"/>
        </w:rPr>
        <w:t xml:space="preserve">, a través de medios de comunicación electrónicos, impresos, digitales y complementarios, mediante piezas de comunicación como son: spots de televisión, spots de radio, inserciones en periódicos y revistas, banners en portales y sitios web, publicidad en muebles urbanos y espectaculares, entre otros. </w:t>
      </w:r>
    </w:p>
    <w:p w14:paraId="47D56B2C" w14:textId="77777777" w:rsidR="00B016E8" w:rsidRPr="002A3AE2" w:rsidRDefault="00B016E8" w:rsidP="00B016E8">
      <w:pPr>
        <w:jc w:val="both"/>
        <w:rPr>
          <w:rFonts w:ascii="Noto Sans" w:hAnsi="Noto Sans" w:cs="Noto Sans"/>
          <w:sz w:val="12"/>
          <w:szCs w:val="12"/>
          <w:lang w:val="es-MX"/>
        </w:rPr>
      </w:pPr>
    </w:p>
    <w:p w14:paraId="617D5684" w14:textId="0289F690" w:rsidR="00B016E8" w:rsidRPr="00DA2650"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 xml:space="preserve">La contratación de estos servicios es imperativa para el cumplimiento de la Estrategia y Programa Anual de Comunicación Social </w:t>
      </w:r>
      <w:r w:rsidR="004F4F07">
        <w:rPr>
          <w:rFonts w:ascii="Noto Sans" w:hAnsi="Noto Sans" w:cs="Noto Sans"/>
          <w:sz w:val="20"/>
          <w:szCs w:val="20"/>
          <w:lang w:val="es-MX"/>
        </w:rPr>
        <w:t>2026</w:t>
      </w:r>
      <w:r w:rsidRPr="00D63CDD">
        <w:rPr>
          <w:rFonts w:ascii="Noto Sans" w:hAnsi="Noto Sans" w:cs="Noto Sans"/>
          <w:sz w:val="20"/>
          <w:szCs w:val="20"/>
          <w:lang w:val="es-MX"/>
        </w:rPr>
        <w:t xml:space="preserve"> del Instituto Mexicano del Seguro Social, que contempla la difusión </w:t>
      </w:r>
      <w:r w:rsidR="00DA2650">
        <w:rPr>
          <w:rFonts w:ascii="Noto Sans" w:hAnsi="Noto Sans" w:cs="Noto Sans"/>
          <w:sz w:val="20"/>
          <w:szCs w:val="20"/>
          <w:lang w:val="es-MX"/>
        </w:rPr>
        <w:t xml:space="preserve">de </w:t>
      </w:r>
      <w:r w:rsidRPr="00DA2650">
        <w:rPr>
          <w:rFonts w:ascii="Noto Sans" w:hAnsi="Noto Sans" w:cs="Noto Sans"/>
          <w:sz w:val="20"/>
          <w:szCs w:val="20"/>
          <w:lang w:val="es-MX"/>
        </w:rPr>
        <w:t xml:space="preserve">campañas </w:t>
      </w:r>
      <w:r w:rsidR="00751093" w:rsidRPr="00DA2650">
        <w:rPr>
          <w:rFonts w:ascii="Noto Sans" w:hAnsi="Noto Sans" w:cs="Noto Sans"/>
          <w:sz w:val="20"/>
          <w:szCs w:val="20"/>
          <w:lang w:val="es-MX"/>
        </w:rPr>
        <w:t>autorizadas</w:t>
      </w:r>
      <w:r w:rsidRPr="00DA2650">
        <w:rPr>
          <w:rFonts w:ascii="Noto Sans" w:hAnsi="Noto Sans" w:cs="Noto Sans"/>
          <w:sz w:val="20"/>
          <w:szCs w:val="20"/>
          <w:lang w:val="es-MX"/>
        </w:rPr>
        <w:t xml:space="preserve">. </w:t>
      </w:r>
    </w:p>
    <w:p w14:paraId="206CF67F" w14:textId="77777777" w:rsidR="00B016E8" w:rsidRPr="002A3AE2" w:rsidRDefault="00B016E8" w:rsidP="00B016E8">
      <w:pPr>
        <w:jc w:val="both"/>
        <w:rPr>
          <w:rFonts w:ascii="Noto Sans" w:hAnsi="Noto Sans" w:cs="Noto Sans"/>
          <w:sz w:val="12"/>
          <w:szCs w:val="12"/>
          <w:lang w:val="es-MX"/>
        </w:rPr>
      </w:pPr>
    </w:p>
    <w:p w14:paraId="0F39393C"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Se identificó que los espacios publicitarios seleccionados para el cumplimiento de la Estrategia y Programa Anual de Comunicación Social del IMSS para este ejercicio fiscal, cada uno tiene características únicas en cuanto a alcance, cobertura geográfica, accesibilidad, especialidad, destinatarios, audiencia, rating, por esta razón se determinó que la mezcla de los medios seleccionados es la mejor opción para llegar a la población objetivo, con el nivel de penetración requerido por el Instituto para reforzar los mensajes institucionales previstos en la Estrategia y Programa en cuestión, toda vez que existe la necesidad de cubrir al mayor número de público objetivo con la difusión de las campañas institucionales dentro del territorio nacional, así como de diversificar y en algunos casos segmentar el impacto de los medios de comunicación para el público objetivo  en diferentes grupos sociales y ubicación geográfica.</w:t>
      </w:r>
    </w:p>
    <w:p w14:paraId="21557722" w14:textId="77777777" w:rsidR="00B016E8" w:rsidRPr="00D63CDD" w:rsidRDefault="00B016E8" w:rsidP="00B016E8">
      <w:pPr>
        <w:jc w:val="both"/>
        <w:rPr>
          <w:rFonts w:ascii="Noto Sans" w:hAnsi="Noto Sans" w:cs="Noto Sans"/>
          <w:sz w:val="20"/>
          <w:szCs w:val="20"/>
          <w:lang w:val="es-MX"/>
        </w:rPr>
      </w:pPr>
    </w:p>
    <w:p w14:paraId="66C82000"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En ese orden de ideas, el hecho de que el servicio se preste en los plazos establecidos en el documento de términos y condiciones y que cumpla con las características técnicas establecidas para el servicio cobra relevancia ya que garantiza el logro de las metas institucionales en materia de comunicación. Para ello, es indispensable establecer contractualmente un incremento al porcentaje máximo para la aplicación de penas convencionales y deductivas, previsto en el último párrafo del inciso e, del apartado 5.5.8 de las POBALINES, con base en las consideraciones siguientes:</w:t>
      </w:r>
    </w:p>
    <w:p w14:paraId="2680993C" w14:textId="77777777" w:rsidR="00B016E8" w:rsidRPr="00D63CDD" w:rsidRDefault="00B016E8" w:rsidP="00B016E8">
      <w:pPr>
        <w:jc w:val="both"/>
        <w:rPr>
          <w:rFonts w:ascii="Noto Sans" w:hAnsi="Noto Sans" w:cs="Noto Sans"/>
          <w:sz w:val="20"/>
          <w:szCs w:val="20"/>
          <w:lang w:val="es-MX"/>
        </w:rPr>
      </w:pPr>
    </w:p>
    <w:p w14:paraId="2E836897" w14:textId="34E496EA"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lastRenderedPageBreak/>
        <w:t>I. Las POBALINES en el apartado 5.5.8, inciso e, establece que “…La aplicación de las penas convencionales y deductivas será por regla general de la siguiente manera:</w:t>
      </w:r>
    </w:p>
    <w:p w14:paraId="025041E0" w14:textId="77777777" w:rsidR="00B016E8" w:rsidRPr="00D63CDD" w:rsidRDefault="00B016E8" w:rsidP="00B016E8">
      <w:pPr>
        <w:jc w:val="both"/>
        <w:rPr>
          <w:rFonts w:ascii="Noto Sans" w:eastAsia="Montserrat" w:hAnsi="Noto Sans" w:cs="Noto Sans"/>
          <w:i/>
          <w:color w:val="000000"/>
          <w:sz w:val="20"/>
          <w:szCs w:val="20"/>
        </w:rPr>
      </w:pPr>
    </w:p>
    <w:tbl>
      <w:tblPr>
        <w:tblStyle w:val="Tablaconcuadrcula"/>
        <w:tblW w:w="0" w:type="auto"/>
        <w:jc w:val="center"/>
        <w:tblLook w:val="04A0" w:firstRow="1" w:lastRow="0" w:firstColumn="1" w:lastColumn="0" w:noHBand="0" w:noVBand="1"/>
      </w:tblPr>
      <w:tblGrid>
        <w:gridCol w:w="959"/>
        <w:gridCol w:w="2048"/>
        <w:gridCol w:w="2126"/>
      </w:tblGrid>
      <w:tr w:rsidR="00B016E8" w:rsidRPr="00D63CDD" w14:paraId="68799741" w14:textId="77777777" w:rsidTr="00A479CF">
        <w:trPr>
          <w:jc w:val="center"/>
        </w:trPr>
        <w:tc>
          <w:tcPr>
            <w:tcW w:w="959" w:type="dxa"/>
          </w:tcPr>
          <w:p w14:paraId="5BFBD9C2"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Núm.</w:t>
            </w:r>
          </w:p>
        </w:tc>
        <w:tc>
          <w:tcPr>
            <w:tcW w:w="2048" w:type="dxa"/>
          </w:tcPr>
          <w:p w14:paraId="67DDC7D6"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Descripción</w:t>
            </w:r>
          </w:p>
        </w:tc>
        <w:tc>
          <w:tcPr>
            <w:tcW w:w="2126" w:type="dxa"/>
          </w:tcPr>
          <w:p w14:paraId="42483DD9"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Rango</w:t>
            </w:r>
          </w:p>
        </w:tc>
      </w:tr>
      <w:tr w:rsidR="00B016E8" w:rsidRPr="00D63CDD" w14:paraId="1F5142E0" w14:textId="77777777" w:rsidTr="00A479CF">
        <w:trPr>
          <w:jc w:val="center"/>
        </w:trPr>
        <w:tc>
          <w:tcPr>
            <w:tcW w:w="959" w:type="dxa"/>
          </w:tcPr>
          <w:p w14:paraId="1BAC8842"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1</w:t>
            </w:r>
          </w:p>
        </w:tc>
        <w:tc>
          <w:tcPr>
            <w:tcW w:w="2048" w:type="dxa"/>
          </w:tcPr>
          <w:p w14:paraId="44F4182E"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Bienes</w:t>
            </w:r>
          </w:p>
        </w:tc>
        <w:tc>
          <w:tcPr>
            <w:tcW w:w="2126" w:type="dxa"/>
            <w:vMerge w:val="restart"/>
            <w:vAlign w:val="center"/>
          </w:tcPr>
          <w:p w14:paraId="63506C22" w14:textId="77777777" w:rsidR="00B016E8" w:rsidRPr="00D63CDD" w:rsidRDefault="00B016E8" w:rsidP="00A479CF">
            <w:pPr>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Del 0.2% al 1%</w:t>
            </w:r>
          </w:p>
        </w:tc>
      </w:tr>
      <w:tr w:rsidR="00B016E8" w:rsidRPr="00D63CDD" w14:paraId="7738ED8B" w14:textId="77777777" w:rsidTr="00A479CF">
        <w:trPr>
          <w:jc w:val="center"/>
        </w:trPr>
        <w:tc>
          <w:tcPr>
            <w:tcW w:w="959" w:type="dxa"/>
          </w:tcPr>
          <w:p w14:paraId="0B7F3BC8"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2</w:t>
            </w:r>
          </w:p>
        </w:tc>
        <w:tc>
          <w:tcPr>
            <w:tcW w:w="2048" w:type="dxa"/>
          </w:tcPr>
          <w:p w14:paraId="2B25282C"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Servicios</w:t>
            </w:r>
          </w:p>
        </w:tc>
        <w:tc>
          <w:tcPr>
            <w:tcW w:w="2126" w:type="dxa"/>
            <w:vMerge/>
          </w:tcPr>
          <w:p w14:paraId="4B82E285" w14:textId="77777777" w:rsidR="00B016E8" w:rsidRPr="00D63CDD" w:rsidRDefault="00B016E8" w:rsidP="00A479CF">
            <w:pPr>
              <w:jc w:val="both"/>
              <w:rPr>
                <w:rFonts w:ascii="Noto Sans" w:eastAsia="Montserrat" w:hAnsi="Noto Sans" w:cs="Noto Sans"/>
                <w:i/>
                <w:color w:val="000000"/>
                <w:sz w:val="20"/>
                <w:szCs w:val="20"/>
              </w:rPr>
            </w:pPr>
          </w:p>
        </w:tc>
      </w:tr>
      <w:tr w:rsidR="00B016E8" w:rsidRPr="00D63CDD" w14:paraId="3DCFBD60" w14:textId="77777777" w:rsidTr="00A479CF">
        <w:trPr>
          <w:jc w:val="center"/>
        </w:trPr>
        <w:tc>
          <w:tcPr>
            <w:tcW w:w="959" w:type="dxa"/>
          </w:tcPr>
          <w:p w14:paraId="5DFDD68B"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3</w:t>
            </w:r>
          </w:p>
        </w:tc>
        <w:tc>
          <w:tcPr>
            <w:tcW w:w="2048" w:type="dxa"/>
          </w:tcPr>
          <w:p w14:paraId="6E1C85CF" w14:textId="77777777" w:rsidR="00B016E8" w:rsidRPr="00D63CDD" w:rsidRDefault="00B016E8" w:rsidP="00A479CF">
            <w:pPr>
              <w:jc w:val="both"/>
              <w:rPr>
                <w:rFonts w:ascii="Noto Sans" w:eastAsia="Montserrat" w:hAnsi="Noto Sans" w:cs="Noto Sans"/>
                <w:i/>
                <w:color w:val="000000"/>
                <w:sz w:val="20"/>
                <w:szCs w:val="20"/>
              </w:rPr>
            </w:pPr>
            <w:r w:rsidRPr="00D63CDD">
              <w:rPr>
                <w:rFonts w:ascii="Noto Sans" w:eastAsia="Montserrat" w:hAnsi="Noto Sans" w:cs="Noto Sans"/>
                <w:i/>
                <w:color w:val="000000"/>
                <w:sz w:val="20"/>
                <w:szCs w:val="20"/>
              </w:rPr>
              <w:t>Arrendamientos</w:t>
            </w:r>
          </w:p>
        </w:tc>
        <w:tc>
          <w:tcPr>
            <w:tcW w:w="2126" w:type="dxa"/>
            <w:vMerge/>
          </w:tcPr>
          <w:p w14:paraId="574644F1" w14:textId="77777777" w:rsidR="00B016E8" w:rsidRPr="00D63CDD" w:rsidRDefault="00B016E8" w:rsidP="00A479CF">
            <w:pPr>
              <w:jc w:val="both"/>
              <w:rPr>
                <w:rFonts w:ascii="Noto Sans" w:eastAsia="Montserrat" w:hAnsi="Noto Sans" w:cs="Noto Sans"/>
                <w:i/>
                <w:color w:val="000000"/>
                <w:sz w:val="20"/>
                <w:szCs w:val="20"/>
              </w:rPr>
            </w:pPr>
          </w:p>
        </w:tc>
      </w:tr>
    </w:tbl>
    <w:p w14:paraId="65A0CDF6" w14:textId="77777777" w:rsidR="00B016E8" w:rsidRPr="00D63CDD" w:rsidRDefault="00B016E8" w:rsidP="00B016E8">
      <w:pPr>
        <w:jc w:val="both"/>
        <w:rPr>
          <w:rFonts w:ascii="Noto Sans" w:eastAsia="Montserrat" w:hAnsi="Noto Sans" w:cs="Noto Sans"/>
          <w:i/>
          <w:color w:val="000000"/>
          <w:sz w:val="20"/>
          <w:szCs w:val="20"/>
        </w:rPr>
      </w:pPr>
    </w:p>
    <w:p w14:paraId="650A3826"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 xml:space="preserve">Este mismo precepto normativo en el último párrafo prevé una excepción a la regla general anteriormente descrita, consistente en: “…Atendiendo a la naturaleza del bien, arrendamiento o servicio, el Área Requirente podrá determinar un rango mayor, previa </w:t>
      </w:r>
      <w:r w:rsidRPr="00D63CDD">
        <w:rPr>
          <w:rFonts w:ascii="Noto Sans" w:hAnsi="Noto Sans" w:cs="Noto Sans"/>
          <w:b/>
          <w:bCs/>
          <w:i/>
          <w:iCs/>
          <w:sz w:val="20"/>
          <w:szCs w:val="20"/>
          <w:u w:val="single"/>
          <w:lang w:val="es-MX"/>
        </w:rPr>
        <w:t>justificación</w:t>
      </w:r>
      <w:r w:rsidRPr="00D63CDD">
        <w:rPr>
          <w:rFonts w:ascii="Noto Sans" w:hAnsi="Noto Sans" w:cs="Noto Sans"/>
          <w:sz w:val="20"/>
          <w:szCs w:val="20"/>
          <w:lang w:val="es-MX"/>
        </w:rPr>
        <w:t xml:space="preserve"> que obre en el expediente de contratación…”.</w:t>
      </w:r>
    </w:p>
    <w:p w14:paraId="5418E537" w14:textId="77777777" w:rsidR="00B016E8" w:rsidRPr="00D63CDD" w:rsidRDefault="00B016E8" w:rsidP="00B016E8">
      <w:pPr>
        <w:jc w:val="both"/>
        <w:rPr>
          <w:rFonts w:ascii="Noto Sans" w:hAnsi="Noto Sans" w:cs="Noto Sans"/>
          <w:sz w:val="20"/>
          <w:szCs w:val="20"/>
          <w:lang w:val="es-MX"/>
        </w:rPr>
      </w:pPr>
    </w:p>
    <w:p w14:paraId="5A1E5FE5"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 xml:space="preserve">Es necesario a esta Unidad de Comunicación Social determinar un rango mayor al establecido por regla general, ya que con base en la experiencia de ejercicios anteriores, en los cuales se previó un porcentaje menor, los proveedores de servicios ante la solicitud del área técnica para presentar los testigos al estar próximo a vencer el plazo establecido, manifestaron la preferencia en la aplicación de sanciones en razón de que al medio no le resultaba oneroso el monto de las sanciones en contraste con la utilidad global que representaba el contrato. </w:t>
      </w:r>
    </w:p>
    <w:p w14:paraId="5A51CA21" w14:textId="77777777" w:rsidR="00B016E8" w:rsidRPr="00D63CDD" w:rsidRDefault="00B016E8" w:rsidP="00B016E8">
      <w:pPr>
        <w:jc w:val="both"/>
        <w:rPr>
          <w:rFonts w:ascii="Noto Sans" w:hAnsi="Noto Sans" w:cs="Noto Sans"/>
          <w:sz w:val="20"/>
          <w:szCs w:val="20"/>
          <w:lang w:val="es-MX"/>
        </w:rPr>
      </w:pPr>
    </w:p>
    <w:p w14:paraId="0EC42A16" w14:textId="19CCBB6E"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 xml:space="preserve">No obstante, los administradores de los contratos con los medios, en su carácter de servidores públicos, además de tener la responsabilidad de verificar el cumplimiento del servicio, a su vez tienen la carga administrativa respecto del cumplimiento de la Estrategia y Programa Anual de Comunicación Social </w:t>
      </w:r>
      <w:r w:rsidR="004F4F07">
        <w:rPr>
          <w:rFonts w:ascii="Noto Sans" w:hAnsi="Noto Sans" w:cs="Noto Sans"/>
          <w:sz w:val="20"/>
          <w:szCs w:val="20"/>
          <w:lang w:val="es-MX"/>
        </w:rPr>
        <w:t>2026</w:t>
      </w:r>
      <w:r w:rsidRPr="00D63CDD">
        <w:rPr>
          <w:rFonts w:ascii="Noto Sans" w:hAnsi="Noto Sans" w:cs="Noto Sans"/>
          <w:sz w:val="20"/>
          <w:szCs w:val="20"/>
          <w:lang w:val="es-MX"/>
        </w:rPr>
        <w:t xml:space="preserve"> del Instituto Mexicano del Seguro Social, toda vez que el incumplimiento de los servicios no resulta solamente en un atraso o daño económico al Instituto, que se subsana con una sanción económica, sino que el incumplimiento menoscaba el alcance, cobertura geográfica, accesibilidad, especialidad, destinatarios, audiencia, rating, de la mezcla de los medios seleccionados para que los mensajes institucionales previstos en la Estrategia y Programa Anual de Comunicación Social </w:t>
      </w:r>
      <w:r w:rsidR="004F4F07">
        <w:rPr>
          <w:rFonts w:ascii="Noto Sans" w:hAnsi="Noto Sans" w:cs="Noto Sans"/>
          <w:sz w:val="20"/>
          <w:szCs w:val="20"/>
          <w:lang w:val="es-MX"/>
        </w:rPr>
        <w:t>2026</w:t>
      </w:r>
      <w:r w:rsidRPr="00D63CDD">
        <w:rPr>
          <w:rFonts w:ascii="Noto Sans" w:hAnsi="Noto Sans" w:cs="Noto Sans"/>
          <w:sz w:val="20"/>
          <w:szCs w:val="20"/>
          <w:lang w:val="es-MX"/>
        </w:rPr>
        <w:t xml:space="preserve">, lleguen a la población objetivo que se requiere. </w:t>
      </w:r>
    </w:p>
    <w:p w14:paraId="168F3628" w14:textId="77777777" w:rsidR="00B016E8" w:rsidRPr="00D63CDD" w:rsidRDefault="00B016E8" w:rsidP="00B016E8">
      <w:pPr>
        <w:jc w:val="both"/>
        <w:rPr>
          <w:rFonts w:ascii="Noto Sans" w:hAnsi="Noto Sans" w:cs="Noto Sans"/>
          <w:sz w:val="20"/>
          <w:szCs w:val="20"/>
          <w:lang w:val="es-MX"/>
        </w:rPr>
      </w:pPr>
    </w:p>
    <w:p w14:paraId="0F1D5DCC"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La naturaleza de los servicios es un factor determinante para la necesidad de introducir como elemento coercitivo de cumplimiento para los medios, el incremento del porcentaje de las sanciones contractuales, ya que por ejemplo, cuando se programa una pauta para un programa con cierto nivel de audiencia, cobertura y público objetivo, en el caso de que se actualice una pena convencional por atraso, aunque el proveedor lo transmita en condiciones similares a la de la orden, en algunos casos la falta, podría considerarse de imposible reparación ya que podría tratarse de un programa especial que no forma parte de la programación habitual del canal o medio de que se trate, y por lo tanto el impacto, cobertura, alcance, y/o público objetivo no cumplirá con los niveles de impacto necesarios.</w:t>
      </w:r>
    </w:p>
    <w:p w14:paraId="74A41699" w14:textId="77777777" w:rsidR="00B016E8" w:rsidRDefault="00B016E8" w:rsidP="00B016E8">
      <w:pPr>
        <w:jc w:val="both"/>
        <w:rPr>
          <w:rFonts w:ascii="Noto Sans" w:hAnsi="Noto Sans" w:cs="Noto Sans"/>
          <w:sz w:val="20"/>
          <w:szCs w:val="20"/>
          <w:lang w:val="es-MX"/>
        </w:rPr>
      </w:pPr>
    </w:p>
    <w:p w14:paraId="5603F453" w14:textId="220015EA"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También se reportaron casos en ejercicios fiscales anteriores, en los que los proveedores sí habían cumplido con la transmisión o inserción establecida en la orden, pero no presentaban en tiempo la comprobación del servicio a través de testigos, lo cual, para los administradores de los contratos y el personal institucional a su cargo, debido al volumen, impacta en la carga administrativa y el control del presupuesto en materia de comunicación social (ya que se trata de contratos en modalidad abierta) lo que obstaculiza los procesos de gestión y desarrollo de la vida de los contratos.</w:t>
      </w:r>
    </w:p>
    <w:p w14:paraId="70C10105" w14:textId="77777777" w:rsidR="00B016E8" w:rsidRPr="00D63CDD" w:rsidRDefault="00B016E8" w:rsidP="00B016E8">
      <w:pPr>
        <w:jc w:val="both"/>
        <w:rPr>
          <w:rFonts w:ascii="Noto Sans" w:hAnsi="Noto Sans" w:cs="Noto Sans"/>
          <w:sz w:val="20"/>
          <w:szCs w:val="20"/>
          <w:lang w:val="es-MX"/>
        </w:rPr>
      </w:pPr>
    </w:p>
    <w:p w14:paraId="49C2A7B6"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A mayor abundamiento de lo anterior, la determinación de las penas y deductivas se encuentra supeditada a determinar y acreditar la fecha de recepción de testigos, lo cual fue materia del cumplimiento de las acciones correctivas y preventivas en respuesta a dos Cédulas de Observaciones de la Auditoría 129/2020, “al rubro de Adquisiciones, Arrendamientos y Servicios, cumplimiento de contratos de comunicación social” emitidas mediante similar No. 0952 8061 4B30/02/050/2021, expedido por la División de Análisis, Supervisión y Evaluación de Auditoría dependiente de la Coordinación de Atención a Órganos Fiscalizadores; resultando imperativo con ello, a esta requirente, robustecer la coercitividad de la entrega de testigos y el sellado en la recepción de los mismos.</w:t>
      </w:r>
    </w:p>
    <w:p w14:paraId="4BA8C1D1" w14:textId="77777777" w:rsidR="00B016E8" w:rsidRPr="00D63CDD" w:rsidRDefault="00B016E8" w:rsidP="00B016E8">
      <w:pPr>
        <w:jc w:val="both"/>
        <w:rPr>
          <w:rFonts w:ascii="Noto Sans" w:hAnsi="Noto Sans" w:cs="Noto Sans"/>
          <w:sz w:val="20"/>
          <w:szCs w:val="20"/>
          <w:lang w:val="es-MX"/>
        </w:rPr>
      </w:pPr>
    </w:p>
    <w:p w14:paraId="24203A75"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En ese sentido, queda plenamente acreditada la necesidad de incrementar el rango del porcentaje establecido para las penas convencionales y deductivas, dada la naturaleza del servicio que nos ocupa, para que de esta forma ante esta previsión contractual resulte oneroso a los medios de comunicación actualizar durante la vida del contrato la aplicación de penas convencionales y deductivas y de esta forma el Instituto cuente con una facultad coercitiva para realmente exigir la prestación de los servicios en los términos establecidos.</w:t>
      </w:r>
    </w:p>
    <w:p w14:paraId="036F5195" w14:textId="77777777" w:rsidR="00B016E8" w:rsidRPr="00D63CDD" w:rsidRDefault="00B016E8" w:rsidP="00B016E8">
      <w:pPr>
        <w:jc w:val="both"/>
        <w:rPr>
          <w:rFonts w:ascii="Noto Sans" w:hAnsi="Noto Sans" w:cs="Noto Sans"/>
          <w:sz w:val="20"/>
          <w:szCs w:val="20"/>
          <w:lang w:val="es-MX"/>
        </w:rPr>
      </w:pPr>
    </w:p>
    <w:p w14:paraId="609961A5" w14:textId="77777777"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De esta forma, el cumplimiento de las contraprestaciones contractuales establecidas en materia de Adquisiciones, coadyuvan al cumplimiento de las metas institucionales en materia de comunicación social, y con ello el uso racional del gasto público para que éste logre el fin para el cual se programó y destinó.</w:t>
      </w:r>
    </w:p>
    <w:p w14:paraId="7743F0B2" w14:textId="77777777" w:rsidR="00B016E8" w:rsidRPr="00D63CDD" w:rsidRDefault="00B016E8" w:rsidP="00B016E8">
      <w:pPr>
        <w:jc w:val="both"/>
        <w:rPr>
          <w:rFonts w:ascii="Noto Sans" w:hAnsi="Noto Sans" w:cs="Noto Sans"/>
          <w:sz w:val="20"/>
          <w:szCs w:val="20"/>
          <w:lang w:val="es-MX"/>
        </w:rPr>
      </w:pPr>
    </w:p>
    <w:p w14:paraId="0475E33D" w14:textId="3A3135D0" w:rsidR="00B016E8" w:rsidRPr="00D63CDD" w:rsidRDefault="00B016E8" w:rsidP="00B016E8">
      <w:pPr>
        <w:jc w:val="both"/>
        <w:rPr>
          <w:rFonts w:ascii="Noto Sans" w:hAnsi="Noto Sans" w:cs="Noto Sans"/>
          <w:sz w:val="20"/>
          <w:szCs w:val="20"/>
          <w:lang w:val="es-MX"/>
        </w:rPr>
      </w:pPr>
      <w:r w:rsidRPr="00D63CDD">
        <w:rPr>
          <w:rFonts w:ascii="Noto Sans" w:hAnsi="Noto Sans" w:cs="Noto Sans"/>
          <w:sz w:val="20"/>
          <w:szCs w:val="20"/>
          <w:lang w:val="es-MX"/>
        </w:rPr>
        <w:t xml:space="preserve">Con base en las consideraciones normativas anteriormente expuestas, esta Unidad de Comunicación Social determina procedente el incremento en el rango de porcentaje máximo establecido por regla general para la aplicación de penas convencionales y deductivas, por encontrarse acreditada la excepción prevista en el último párrafo del inciso e, del apartado 5.5.8, de las POBALINES, atendiendo a la naturaleza del SERVICIO DE DIFUSIÓN DE LAS CAMPAÑAS INSTITUCIONALES </w:t>
      </w:r>
      <w:r w:rsidR="004F4F07">
        <w:rPr>
          <w:rFonts w:ascii="Noto Sans" w:hAnsi="Noto Sans" w:cs="Noto Sans"/>
          <w:sz w:val="20"/>
          <w:szCs w:val="20"/>
          <w:lang w:val="es-MX"/>
        </w:rPr>
        <w:t>2026</w:t>
      </w:r>
      <w:r w:rsidRPr="00D63CDD">
        <w:rPr>
          <w:rFonts w:ascii="Noto Sans" w:hAnsi="Noto Sans" w:cs="Noto Sans"/>
          <w:sz w:val="20"/>
          <w:szCs w:val="20"/>
          <w:lang w:val="es-MX"/>
        </w:rPr>
        <w:t>, A TRAVÉS DE MEDIOS DE COMUNICACIÓN ELECTRÓNICOS, IMPRESOS, DIGITALES Y COMPLEMENTARIOS.</w:t>
      </w:r>
    </w:p>
    <w:p w14:paraId="399B5754" w14:textId="77777777" w:rsidR="00B016E8" w:rsidRPr="00D63CDD" w:rsidRDefault="00B016E8" w:rsidP="00B016E8">
      <w:pPr>
        <w:spacing w:line="360" w:lineRule="auto"/>
        <w:jc w:val="both"/>
        <w:rPr>
          <w:rFonts w:ascii="Noto Sans" w:hAnsi="Noto Sans" w:cs="Noto Sans"/>
          <w:sz w:val="20"/>
          <w:szCs w:val="20"/>
          <w:lang w:val="es-MX"/>
        </w:rPr>
      </w:pPr>
    </w:p>
    <w:p w14:paraId="2CD8C876" w14:textId="21DED74D" w:rsidR="00B016E8" w:rsidRPr="00D32AC0" w:rsidRDefault="00B016E8" w:rsidP="002A3AE2">
      <w:pPr>
        <w:spacing w:line="276" w:lineRule="auto"/>
        <w:ind w:left="705" w:hanging="705"/>
        <w:jc w:val="both"/>
        <w:rPr>
          <w:rFonts w:ascii="Noto Sans" w:hAnsi="Noto Sans" w:cs="Noto Sans"/>
          <w:b/>
          <w:bCs/>
          <w:sz w:val="20"/>
          <w:szCs w:val="20"/>
          <w:lang w:val="es-MX"/>
        </w:rPr>
      </w:pPr>
      <w:r w:rsidRPr="00D32AC0">
        <w:rPr>
          <w:rFonts w:ascii="Noto Sans" w:hAnsi="Noto Sans" w:cs="Noto Sans"/>
          <w:b/>
          <w:bCs/>
          <w:sz w:val="20"/>
          <w:szCs w:val="20"/>
          <w:lang w:val="es-MX"/>
        </w:rPr>
        <w:lastRenderedPageBreak/>
        <w:t xml:space="preserve">i) </w:t>
      </w:r>
      <w:r w:rsidR="002A3AE2">
        <w:rPr>
          <w:rFonts w:ascii="Noto Sans" w:hAnsi="Noto Sans" w:cs="Noto Sans"/>
          <w:b/>
          <w:bCs/>
          <w:sz w:val="20"/>
          <w:szCs w:val="20"/>
          <w:lang w:val="es-MX"/>
        </w:rPr>
        <w:tab/>
      </w:r>
      <w:r w:rsidRPr="00D32AC0">
        <w:rPr>
          <w:rFonts w:ascii="Noto Sans" w:hAnsi="Noto Sans" w:cs="Noto Sans"/>
          <w:b/>
          <w:bCs/>
          <w:sz w:val="20"/>
          <w:szCs w:val="20"/>
          <w:lang w:val="es-MX"/>
        </w:rPr>
        <w:t xml:space="preserve">En su caso, mecanismos requeridos al proveedor para responder por defectos o vicios ocultos de los bienes o de la calidad de los servicios. </w:t>
      </w:r>
      <w:r w:rsidRPr="00D63CDD">
        <w:rPr>
          <w:rFonts w:ascii="Noto Sans" w:hAnsi="Noto Sans" w:cs="Noto Sans"/>
          <w:sz w:val="20"/>
          <w:szCs w:val="20"/>
          <w:lang w:val="es-MX"/>
        </w:rPr>
        <w:t>No aplica.</w:t>
      </w:r>
    </w:p>
    <w:p w14:paraId="75F09112" w14:textId="7CF665B5" w:rsidR="00B016E8" w:rsidRPr="00D32AC0" w:rsidRDefault="00B016E8" w:rsidP="002A3AE2">
      <w:pPr>
        <w:spacing w:line="276" w:lineRule="auto"/>
        <w:ind w:left="705" w:hanging="705"/>
        <w:jc w:val="both"/>
        <w:rPr>
          <w:rFonts w:ascii="Noto Sans" w:hAnsi="Noto Sans" w:cs="Noto Sans"/>
          <w:b/>
          <w:bCs/>
          <w:sz w:val="20"/>
          <w:szCs w:val="20"/>
          <w:lang w:val="es-MX"/>
        </w:rPr>
      </w:pPr>
      <w:r w:rsidRPr="00D32AC0">
        <w:rPr>
          <w:rFonts w:ascii="Noto Sans" w:hAnsi="Noto Sans" w:cs="Noto Sans"/>
          <w:b/>
          <w:bCs/>
          <w:sz w:val="20"/>
          <w:szCs w:val="20"/>
          <w:lang w:val="es-MX"/>
        </w:rPr>
        <w:t xml:space="preserve">j) </w:t>
      </w:r>
      <w:r w:rsidR="002A3AE2">
        <w:rPr>
          <w:rFonts w:ascii="Noto Sans" w:hAnsi="Noto Sans" w:cs="Noto Sans"/>
          <w:b/>
          <w:bCs/>
          <w:sz w:val="20"/>
          <w:szCs w:val="20"/>
          <w:lang w:val="es-MX"/>
        </w:rPr>
        <w:tab/>
      </w:r>
      <w:r w:rsidRPr="00D32AC0">
        <w:rPr>
          <w:rFonts w:ascii="Noto Sans" w:hAnsi="Noto Sans" w:cs="Noto Sans"/>
          <w:b/>
          <w:bCs/>
          <w:sz w:val="20"/>
          <w:szCs w:val="20"/>
          <w:lang w:val="es-MX"/>
        </w:rPr>
        <w:t>Las garantías de anticipos y cumplimiento, deberán de apegarse al numeral 4.30.1, penúltimo párrafo de estas POBALINES, así como la calidad de servicios y de operación y funcionamiento, que en su caso apliquen</w:t>
      </w:r>
      <w:r w:rsidRPr="00D63CDD">
        <w:rPr>
          <w:rFonts w:ascii="Noto Sans" w:hAnsi="Noto Sans" w:cs="Noto Sans"/>
          <w:b/>
          <w:bCs/>
          <w:sz w:val="20"/>
          <w:szCs w:val="20"/>
          <w:lang w:val="es-MX"/>
        </w:rPr>
        <w:t xml:space="preserve">. </w:t>
      </w:r>
    </w:p>
    <w:p w14:paraId="76261CD8" w14:textId="77777777" w:rsidR="00B016E8" w:rsidRPr="00D63CDD" w:rsidRDefault="00B016E8" w:rsidP="00B016E8">
      <w:pPr>
        <w:spacing w:line="276" w:lineRule="auto"/>
        <w:jc w:val="both"/>
        <w:rPr>
          <w:rFonts w:ascii="Noto Sans" w:hAnsi="Noto Sans" w:cs="Noto Sans"/>
          <w:b/>
          <w:bCs/>
          <w:sz w:val="20"/>
          <w:szCs w:val="20"/>
          <w:lang w:val="es-MX"/>
        </w:rPr>
      </w:pPr>
    </w:p>
    <w:p w14:paraId="2823AE9A" w14:textId="77777777" w:rsidR="00B016E8" w:rsidRPr="00D63CDD" w:rsidRDefault="00B016E8" w:rsidP="00B016E8">
      <w:pPr>
        <w:spacing w:line="276" w:lineRule="auto"/>
        <w:jc w:val="both"/>
        <w:rPr>
          <w:rFonts w:ascii="Noto Sans" w:hAnsi="Noto Sans" w:cs="Noto Sans"/>
          <w:b/>
          <w:bCs/>
          <w:sz w:val="20"/>
          <w:szCs w:val="20"/>
          <w:lang w:val="es-MX"/>
        </w:rPr>
      </w:pPr>
      <w:r w:rsidRPr="00D63CDD">
        <w:rPr>
          <w:rFonts w:ascii="Noto Sans" w:hAnsi="Noto Sans" w:cs="Noto Sans"/>
          <w:b/>
          <w:bCs/>
          <w:sz w:val="20"/>
          <w:szCs w:val="20"/>
          <w:lang w:val="es-MX"/>
        </w:rPr>
        <w:t>J.1. Garantía de cumplimiento.</w:t>
      </w:r>
    </w:p>
    <w:p w14:paraId="7BEE19D1" w14:textId="77777777" w:rsidR="00B016E8" w:rsidRPr="00D63CDD" w:rsidRDefault="00B016E8" w:rsidP="00B016E8">
      <w:pPr>
        <w:spacing w:line="276" w:lineRule="auto"/>
        <w:jc w:val="both"/>
        <w:rPr>
          <w:rFonts w:ascii="Noto Sans" w:hAnsi="Noto Sans" w:cs="Noto Sans"/>
          <w:b/>
          <w:bCs/>
          <w:sz w:val="20"/>
          <w:szCs w:val="20"/>
          <w:lang w:val="es-MX"/>
        </w:rPr>
      </w:pPr>
    </w:p>
    <w:p w14:paraId="786158E3" w14:textId="56BED49D" w:rsidR="00B016E8" w:rsidRPr="00D63CDD" w:rsidRDefault="00B016E8" w:rsidP="00B016E8">
      <w:pPr>
        <w:spacing w:line="276" w:lineRule="auto"/>
        <w:jc w:val="both"/>
        <w:rPr>
          <w:rFonts w:ascii="Noto Sans" w:hAnsi="Noto Sans" w:cs="Noto Sans"/>
          <w:sz w:val="20"/>
          <w:szCs w:val="20"/>
          <w:lang w:val="es-MX"/>
        </w:rPr>
      </w:pPr>
      <w:r w:rsidRPr="00D63CDD">
        <w:rPr>
          <w:rFonts w:ascii="Noto Sans" w:hAnsi="Noto Sans" w:cs="Noto Sans"/>
          <w:sz w:val="20"/>
          <w:szCs w:val="20"/>
          <w:lang w:val="es-MX"/>
        </w:rPr>
        <w:t xml:space="preserve">Para garantizar el cumplimiento de las obligaciones estipuladas en el contrato adjudicado, el proveedor deberá presentar en la División de Contratos dependiente de la Coordinación Técnica de Planeación y Contratos, póliza de fianza, expedida por afianzadora debidamente constituida en términos de la Ley de Instituciones de Seguros y Fianzas, dentro de los diez días naturales siguientes a la firma del contrato respectivo, para garantizar el cumplimiento de todas y cada una de las obligaciones a su cargo derivadas del contrato adjudicado, a favor del Instituto Mexicano del Seguro Social por un monto equivalente al 10% por ciento sobre el importe máximo del contrato, sin incluir el Impuesto al Valor agregado (I.V.A.), en moneda nacional de conformidad con lo establecido en el artículo </w:t>
      </w:r>
      <w:r w:rsidRPr="00751093">
        <w:rPr>
          <w:rFonts w:ascii="Noto Sans" w:hAnsi="Noto Sans" w:cs="Noto Sans"/>
          <w:sz w:val="20"/>
          <w:szCs w:val="20"/>
          <w:lang w:val="es-MX"/>
        </w:rPr>
        <w:t>6</w:t>
      </w:r>
      <w:r w:rsidR="006E401A">
        <w:rPr>
          <w:rFonts w:ascii="Noto Sans" w:hAnsi="Noto Sans" w:cs="Noto Sans"/>
          <w:sz w:val="20"/>
          <w:szCs w:val="20"/>
          <w:lang w:val="es-MX"/>
        </w:rPr>
        <w:t>6</w:t>
      </w:r>
      <w:r w:rsidRPr="00751093">
        <w:rPr>
          <w:rFonts w:ascii="Noto Sans" w:hAnsi="Noto Sans" w:cs="Noto Sans"/>
          <w:sz w:val="20"/>
          <w:szCs w:val="20"/>
          <w:lang w:val="es-MX"/>
        </w:rPr>
        <w:t>, fracción II, de la Ley de Adquisiciones</w:t>
      </w:r>
      <w:r w:rsidRPr="00D63CDD">
        <w:rPr>
          <w:rFonts w:ascii="Noto Sans" w:hAnsi="Noto Sans" w:cs="Noto Sans"/>
          <w:sz w:val="20"/>
          <w:szCs w:val="20"/>
          <w:lang w:val="es-MX"/>
        </w:rPr>
        <w:t xml:space="preserve">, Arrendamientos y Servicios del Sector Público; además de que dicha garantía será divisible con fundamento en el artículo </w:t>
      </w:r>
      <w:r w:rsidR="006E401A">
        <w:rPr>
          <w:rFonts w:ascii="Noto Sans" w:hAnsi="Noto Sans" w:cs="Noto Sans"/>
          <w:sz w:val="20"/>
          <w:szCs w:val="20"/>
          <w:lang w:val="es-MX"/>
        </w:rPr>
        <w:t>126</w:t>
      </w:r>
      <w:r w:rsidRPr="00D63CDD">
        <w:rPr>
          <w:rFonts w:ascii="Noto Sans" w:hAnsi="Noto Sans" w:cs="Noto Sans"/>
          <w:sz w:val="20"/>
          <w:szCs w:val="20"/>
          <w:lang w:val="es-MX"/>
        </w:rPr>
        <w:t xml:space="preserve"> del Reglamento de la Ley de Adquisiciones, Arrendamientos y Servicios del Sector Público.</w:t>
      </w:r>
    </w:p>
    <w:p w14:paraId="499C074F" w14:textId="77777777" w:rsidR="00B016E8" w:rsidRPr="00D63CDD" w:rsidRDefault="00B016E8" w:rsidP="00B016E8">
      <w:pPr>
        <w:spacing w:line="276" w:lineRule="auto"/>
        <w:jc w:val="both"/>
        <w:rPr>
          <w:rFonts w:ascii="Noto Sans" w:hAnsi="Noto Sans" w:cs="Noto Sans"/>
          <w:sz w:val="20"/>
          <w:szCs w:val="20"/>
          <w:lang w:val="es-MX"/>
        </w:rPr>
      </w:pPr>
    </w:p>
    <w:p w14:paraId="01D12B82" w14:textId="49BAE49A" w:rsidR="00B016E8" w:rsidRPr="00D63CDD" w:rsidRDefault="00B016E8" w:rsidP="00B016E8">
      <w:pPr>
        <w:spacing w:line="276" w:lineRule="auto"/>
        <w:jc w:val="both"/>
        <w:rPr>
          <w:rFonts w:ascii="Noto Sans" w:hAnsi="Noto Sans" w:cs="Noto Sans"/>
          <w:sz w:val="20"/>
          <w:szCs w:val="20"/>
          <w:lang w:val="es-MX"/>
        </w:rPr>
      </w:pPr>
      <w:r w:rsidRPr="00D63CDD">
        <w:rPr>
          <w:rFonts w:ascii="Noto Sans" w:hAnsi="Noto Sans" w:cs="Noto Sans"/>
          <w:sz w:val="20"/>
          <w:szCs w:val="20"/>
          <w:lang w:val="es-MX"/>
        </w:rPr>
        <w:t>La fianza permanecerá vigente durante el cumplimiento de la obligación que garantiza y continuará vigente en caso de que se otorgue prórroga al cumplimiento del contrato, o hasta en tanto el proveedor restituya al instituto los saldos a su cargo que se detecten al realizarse el finiquito a que alude la fracción III, del artículo 1</w:t>
      </w:r>
      <w:r w:rsidR="006E401A">
        <w:rPr>
          <w:rFonts w:ascii="Noto Sans" w:hAnsi="Noto Sans" w:cs="Noto Sans"/>
          <w:sz w:val="20"/>
          <w:szCs w:val="20"/>
          <w:lang w:val="es-MX"/>
        </w:rPr>
        <w:t>51</w:t>
      </w:r>
      <w:r w:rsidRPr="00D63CDD">
        <w:rPr>
          <w:rFonts w:ascii="Noto Sans" w:hAnsi="Noto Sans" w:cs="Noto Sans"/>
          <w:sz w:val="20"/>
          <w:szCs w:val="20"/>
          <w:lang w:val="es-MX"/>
        </w:rPr>
        <w:t xml:space="preserve"> del Reglamento de la Ley de Adquisiciones, Arrendamientos y Servicios del Sector Público, así como durante la substanciación de todos los recursos legales o de los juicios que se interpongan y hasta que se dicte resolución definitiva que quede firme.</w:t>
      </w:r>
    </w:p>
    <w:p w14:paraId="507ECA7B" w14:textId="77777777" w:rsidR="00B016E8" w:rsidRPr="00D63CDD" w:rsidRDefault="00B016E8" w:rsidP="00B016E8">
      <w:pPr>
        <w:spacing w:line="276" w:lineRule="auto"/>
        <w:jc w:val="both"/>
        <w:rPr>
          <w:rFonts w:ascii="Noto Sans" w:hAnsi="Noto Sans" w:cs="Noto Sans"/>
          <w:sz w:val="20"/>
          <w:szCs w:val="20"/>
          <w:lang w:val="es-MX"/>
        </w:rPr>
      </w:pPr>
    </w:p>
    <w:p w14:paraId="2B2AA9A1" w14:textId="745297E1" w:rsidR="00B016E8" w:rsidRPr="00D63CDD" w:rsidRDefault="00B016E8" w:rsidP="00B016E8">
      <w:pPr>
        <w:spacing w:line="276" w:lineRule="auto"/>
        <w:jc w:val="both"/>
        <w:rPr>
          <w:rFonts w:ascii="Noto Sans" w:hAnsi="Noto Sans" w:cs="Noto Sans"/>
          <w:sz w:val="20"/>
          <w:szCs w:val="20"/>
          <w:lang w:val="es-MX"/>
        </w:rPr>
      </w:pPr>
      <w:r w:rsidRPr="00D63CDD">
        <w:rPr>
          <w:rFonts w:ascii="Noto Sans" w:hAnsi="Noto Sans" w:cs="Noto Sans"/>
          <w:sz w:val="20"/>
          <w:szCs w:val="20"/>
          <w:lang w:val="es-MX"/>
        </w:rPr>
        <w:t>En caso de que se actualice lo establecido en la fracción III, del artículo 1</w:t>
      </w:r>
      <w:r w:rsidR="006E401A">
        <w:rPr>
          <w:rFonts w:ascii="Noto Sans" w:hAnsi="Noto Sans" w:cs="Noto Sans"/>
          <w:sz w:val="20"/>
          <w:szCs w:val="20"/>
          <w:lang w:val="es-MX"/>
        </w:rPr>
        <w:t>51</w:t>
      </w:r>
      <w:r w:rsidRPr="00D63CDD">
        <w:rPr>
          <w:rFonts w:ascii="Noto Sans" w:hAnsi="Noto Sans" w:cs="Noto Sans"/>
          <w:sz w:val="20"/>
          <w:szCs w:val="20"/>
          <w:lang w:val="es-MX"/>
        </w:rPr>
        <w:t xml:space="preserve"> del Reglamento de la Ley de Adquisiciones, Arrendamientos y Servicios del Sector Público, si en ese momento procesal no es posible realizar retención sobre el CFDI que se presente para pago, los saldos a cargo del proveedor se constituirán en pago en exceso, y en consecuencia el proveedor deberá reintegrar las cantidades que se determinen, más los intereses correspondientes conforme a la tasa que establezca la Ley de Ingresos de la Federación.</w:t>
      </w:r>
    </w:p>
    <w:p w14:paraId="517F85EB" w14:textId="30E841D3" w:rsidR="00B016E8" w:rsidRPr="00D63CDD" w:rsidRDefault="00B016E8" w:rsidP="00B016E8">
      <w:pPr>
        <w:spacing w:line="276" w:lineRule="auto"/>
        <w:jc w:val="both"/>
        <w:rPr>
          <w:rFonts w:ascii="Noto Sans" w:hAnsi="Noto Sans" w:cs="Noto Sans"/>
          <w:sz w:val="20"/>
          <w:szCs w:val="20"/>
          <w:lang w:val="es-MX"/>
        </w:rPr>
      </w:pPr>
      <w:r w:rsidRPr="00D63CDD">
        <w:rPr>
          <w:rFonts w:ascii="Noto Sans" w:hAnsi="Noto Sans" w:cs="Noto Sans"/>
          <w:sz w:val="20"/>
          <w:szCs w:val="20"/>
          <w:lang w:val="es-MX"/>
        </w:rPr>
        <w:lastRenderedPageBreak/>
        <w:t>Por la naturaleza de los servicios el monto de los saldos a cargo del proveedor será determinado de conformidad con la deductiva establecida el inciso h) (Penas Convencionales y Deducciones) del presente documento, más los intereses conforme a la tasa que establezca la Ley de Ingresos de la Federación los que se computarán por días naturales a partir del pagó en exceso y hasta su reintegro al Instituto Mexicano del Seguro Social.</w:t>
      </w:r>
    </w:p>
    <w:p w14:paraId="24415E9E" w14:textId="77777777" w:rsidR="00B016E8" w:rsidRPr="00D63CDD" w:rsidRDefault="00B016E8" w:rsidP="00B016E8">
      <w:pPr>
        <w:spacing w:line="276" w:lineRule="auto"/>
        <w:jc w:val="both"/>
        <w:rPr>
          <w:rFonts w:ascii="Noto Sans" w:hAnsi="Noto Sans" w:cs="Noto Sans"/>
          <w:b/>
          <w:bCs/>
          <w:sz w:val="20"/>
          <w:szCs w:val="20"/>
          <w:lang w:val="es-MX"/>
        </w:rPr>
      </w:pPr>
    </w:p>
    <w:p w14:paraId="7AD7897E" w14:textId="13A8CE90" w:rsidR="00B016E8" w:rsidRPr="00D63CDD" w:rsidRDefault="00B016E8" w:rsidP="002A3AE2">
      <w:pPr>
        <w:spacing w:line="276" w:lineRule="auto"/>
        <w:ind w:left="705" w:hanging="705"/>
        <w:jc w:val="both"/>
        <w:rPr>
          <w:rFonts w:ascii="Noto Sans" w:hAnsi="Noto Sans" w:cs="Noto Sans"/>
          <w:b/>
          <w:bCs/>
          <w:sz w:val="20"/>
          <w:szCs w:val="20"/>
          <w:lang w:val="es-MX"/>
        </w:rPr>
      </w:pPr>
      <w:r w:rsidRPr="00D63CDD">
        <w:rPr>
          <w:rFonts w:ascii="Noto Sans" w:hAnsi="Noto Sans" w:cs="Noto Sans"/>
          <w:b/>
          <w:bCs/>
          <w:sz w:val="20"/>
          <w:szCs w:val="20"/>
          <w:lang w:val="es-MX"/>
        </w:rPr>
        <w:t xml:space="preserve">k) </w:t>
      </w:r>
      <w:r w:rsidR="002A3AE2">
        <w:rPr>
          <w:rFonts w:ascii="Noto Sans" w:hAnsi="Noto Sans" w:cs="Noto Sans"/>
          <w:b/>
          <w:bCs/>
          <w:sz w:val="20"/>
          <w:szCs w:val="20"/>
          <w:lang w:val="es-MX"/>
        </w:rPr>
        <w:tab/>
      </w:r>
      <w:r w:rsidRPr="00D63CDD">
        <w:rPr>
          <w:rFonts w:ascii="Noto Sans" w:hAnsi="Noto Sans" w:cs="Noto Sans"/>
          <w:b/>
          <w:bCs/>
          <w:sz w:val="20"/>
          <w:szCs w:val="20"/>
          <w:lang w:val="es-MX"/>
        </w:rPr>
        <w:t>Precisar la forma de pago para lo cual deberán especificar el tipo de moneda y si se realizará en una sola exhibición o en pagos progresivos conforme a las entregas programadas en el contrato respectivo.</w:t>
      </w:r>
    </w:p>
    <w:p w14:paraId="39C2AC85" w14:textId="77777777" w:rsidR="00B016E8" w:rsidRPr="00D63CDD" w:rsidRDefault="00B016E8" w:rsidP="00B016E8">
      <w:pPr>
        <w:spacing w:line="276" w:lineRule="auto"/>
        <w:jc w:val="both"/>
        <w:rPr>
          <w:rFonts w:ascii="Noto Sans" w:hAnsi="Noto Sans" w:cs="Noto Sans"/>
          <w:b/>
          <w:bCs/>
          <w:sz w:val="20"/>
          <w:szCs w:val="20"/>
          <w:lang w:val="es-MX"/>
        </w:rPr>
      </w:pPr>
    </w:p>
    <w:p w14:paraId="7C614CFE" w14:textId="4BDC7D08" w:rsidR="00B016E8" w:rsidRPr="006E0561" w:rsidRDefault="00FE3935" w:rsidP="00B016E8">
      <w:pPr>
        <w:ind w:left="-142" w:right="-234"/>
        <w:jc w:val="both"/>
        <w:rPr>
          <w:rFonts w:ascii="Noto Sans" w:hAnsi="Noto Sans" w:cs="Noto Sans"/>
          <w:sz w:val="20"/>
          <w:szCs w:val="20"/>
          <w:lang w:val="es-MX"/>
        </w:rPr>
      </w:pPr>
      <w:r w:rsidRPr="006E0561">
        <w:rPr>
          <w:rFonts w:ascii="Noto Sans" w:hAnsi="Noto Sans" w:cs="Noto Sans"/>
          <w:sz w:val="20"/>
          <w:szCs w:val="20"/>
          <w:lang w:val="es-MX"/>
        </w:rPr>
        <w:t xml:space="preserve">El pago se realizará en pagos progresivos conforme a las entregas programadas en el contrato respectivo por los servicios de cada “ORDEN DE TRABAJO”, en pesos mexicanos por servicio devengado, </w:t>
      </w:r>
      <w:r w:rsidRPr="006E0561">
        <w:rPr>
          <w:rFonts w:ascii="Noto Sans" w:hAnsi="Noto Sans" w:cs="Noto Sans"/>
          <w:b/>
          <w:bCs/>
          <w:sz w:val="20"/>
          <w:szCs w:val="20"/>
          <w:lang w:val="es-MX"/>
        </w:rPr>
        <w:t>de acuerdo al Artículo 73 de la Ley de Adquisiciones, Arrendamientos y Servicios del Sector Público (LAASSP) y al inciso 5.5.1 de las Políticas, Bases y Lineamientos en Materia de Adquisiciones, Arrendamientos y Servicios (POBALINES),</w:t>
      </w:r>
      <w:r w:rsidRPr="006E0561">
        <w:rPr>
          <w:rFonts w:ascii="Noto Sans" w:hAnsi="Noto Sans" w:cs="Noto Sans"/>
          <w:sz w:val="20"/>
          <w:szCs w:val="20"/>
          <w:lang w:val="es-MX"/>
        </w:rPr>
        <w:t xml:space="preserve"> siempre y cuando se cuente con la suficiencia presupuestal, así como con la documentación comprobatoria que acredita la entrega de los bienes y/o servicios y se indique en dicha documentación los bienes y/o servicios entregados, número de fianza y denominación social de la afianzadora, en su caso. Los contratos y su dictamen presupuestal deberán estar registrados en el sistema PREI </w:t>
      </w:r>
      <w:proofErr w:type="spellStart"/>
      <w:r w:rsidRPr="006E0561">
        <w:rPr>
          <w:rFonts w:ascii="Noto Sans" w:hAnsi="Noto Sans" w:cs="Noto Sans"/>
          <w:sz w:val="20"/>
          <w:szCs w:val="20"/>
          <w:lang w:val="es-MX"/>
        </w:rPr>
        <w:t>Millenium</w:t>
      </w:r>
      <w:proofErr w:type="spellEnd"/>
      <w:r w:rsidRPr="006E0561">
        <w:rPr>
          <w:rFonts w:ascii="Noto Sans" w:hAnsi="Noto Sans" w:cs="Noto Sans"/>
          <w:sz w:val="20"/>
          <w:szCs w:val="20"/>
          <w:lang w:val="es-MX"/>
        </w:rPr>
        <w:t>.</w:t>
      </w:r>
    </w:p>
    <w:p w14:paraId="3BD3B4F1" w14:textId="77777777" w:rsidR="00B016E8" w:rsidRPr="006E0561" w:rsidRDefault="00B016E8" w:rsidP="00B016E8">
      <w:pPr>
        <w:ind w:left="-142" w:right="-234"/>
        <w:jc w:val="both"/>
        <w:rPr>
          <w:rFonts w:ascii="Noto Sans" w:hAnsi="Noto Sans" w:cs="Noto Sans"/>
          <w:sz w:val="20"/>
          <w:szCs w:val="20"/>
          <w:lang w:val="es-MX"/>
        </w:rPr>
      </w:pPr>
    </w:p>
    <w:p w14:paraId="43D16761" w14:textId="77777777" w:rsidR="00B016E8" w:rsidRPr="006E0561" w:rsidRDefault="00B016E8" w:rsidP="00B016E8">
      <w:pPr>
        <w:ind w:left="-142" w:right="-234"/>
        <w:jc w:val="both"/>
        <w:rPr>
          <w:rFonts w:ascii="Noto Sans" w:hAnsi="Noto Sans" w:cs="Noto Sans"/>
          <w:sz w:val="20"/>
          <w:szCs w:val="20"/>
          <w:lang w:val="es-MX"/>
        </w:rPr>
      </w:pPr>
      <w:r w:rsidRPr="006E0561">
        <w:rPr>
          <w:rFonts w:ascii="Noto Sans" w:hAnsi="Noto Sans" w:cs="Noto Sans"/>
          <w:sz w:val="20"/>
          <w:szCs w:val="20"/>
          <w:lang w:val="es-MX"/>
        </w:rPr>
        <w:t xml:space="preserve">Atendiendo a las características de la prestación del servicio, el mismo se formalizará </w:t>
      </w:r>
      <w:proofErr w:type="gramStart"/>
      <w:r w:rsidRPr="006E0561">
        <w:rPr>
          <w:rFonts w:ascii="Noto Sans" w:hAnsi="Noto Sans" w:cs="Noto Sans"/>
          <w:sz w:val="20"/>
          <w:szCs w:val="20"/>
          <w:lang w:val="es-MX"/>
        </w:rPr>
        <w:t>de acuerdo a</w:t>
      </w:r>
      <w:proofErr w:type="gramEnd"/>
      <w:r w:rsidRPr="006E0561">
        <w:rPr>
          <w:rFonts w:ascii="Noto Sans" w:hAnsi="Noto Sans" w:cs="Noto Sans"/>
          <w:sz w:val="20"/>
          <w:szCs w:val="20"/>
          <w:lang w:val="es-MX"/>
        </w:rPr>
        <w:t xml:space="preserve"> cantidades previamente determinadas, establecidas con base al estudio de mercado que se realice, así como al presupuesto disponible autorizado mediante un Dictamen de Disponibilidad Presupuestal.</w:t>
      </w:r>
    </w:p>
    <w:p w14:paraId="5377C84F" w14:textId="77777777" w:rsidR="00B016E8" w:rsidRPr="00D63CDD" w:rsidRDefault="00B016E8" w:rsidP="00B016E8">
      <w:pPr>
        <w:ind w:left="-142" w:right="-234"/>
        <w:jc w:val="both"/>
        <w:rPr>
          <w:rFonts w:ascii="Noto Sans" w:hAnsi="Noto Sans" w:cs="Noto Sans"/>
          <w:sz w:val="20"/>
          <w:szCs w:val="20"/>
          <w:lang w:val="es-MX"/>
        </w:rPr>
      </w:pPr>
    </w:p>
    <w:p w14:paraId="354C50E6" w14:textId="77777777" w:rsidR="00B016E8" w:rsidRPr="00D63CDD" w:rsidRDefault="00B016E8" w:rsidP="00B016E8">
      <w:pPr>
        <w:tabs>
          <w:tab w:val="left" w:pos="3181"/>
        </w:tabs>
        <w:ind w:left="-142"/>
        <w:jc w:val="both"/>
        <w:rPr>
          <w:rFonts w:ascii="Noto Sans" w:hAnsi="Noto Sans" w:cs="Noto Sans"/>
          <w:b/>
          <w:bCs/>
          <w:sz w:val="20"/>
          <w:szCs w:val="20"/>
          <w:lang w:val="es-MX"/>
        </w:rPr>
      </w:pPr>
      <w:r w:rsidRPr="00D63CDD">
        <w:rPr>
          <w:rFonts w:ascii="Noto Sans" w:hAnsi="Noto Sans" w:cs="Noto Sans"/>
          <w:b/>
          <w:bCs/>
          <w:sz w:val="20"/>
          <w:szCs w:val="20"/>
          <w:lang w:val="es-MX"/>
        </w:rPr>
        <w:t>k.1.) Modalidad de la contratación.</w:t>
      </w:r>
    </w:p>
    <w:p w14:paraId="4BC844FF" w14:textId="77777777" w:rsidR="00B016E8" w:rsidRPr="00D63CDD" w:rsidRDefault="00B016E8" w:rsidP="00B016E8">
      <w:pPr>
        <w:widowControl w:val="0"/>
        <w:ind w:left="-142"/>
        <w:jc w:val="both"/>
        <w:rPr>
          <w:rFonts w:ascii="Noto Sans" w:hAnsi="Noto Sans" w:cs="Noto Sans"/>
          <w:b/>
          <w:bCs/>
          <w:sz w:val="20"/>
          <w:szCs w:val="20"/>
          <w:lang w:val="es-MX"/>
        </w:rPr>
      </w:pPr>
    </w:p>
    <w:p w14:paraId="5D0BC260" w14:textId="77777777" w:rsidR="00B016E8" w:rsidRPr="00D63CDD" w:rsidRDefault="00B016E8" w:rsidP="00B016E8">
      <w:pPr>
        <w:ind w:left="-142" w:right="15"/>
        <w:jc w:val="both"/>
        <w:rPr>
          <w:rFonts w:ascii="Noto Sans" w:hAnsi="Noto Sans" w:cs="Noto Sans"/>
          <w:sz w:val="20"/>
          <w:szCs w:val="20"/>
          <w:lang w:val="es-MX"/>
        </w:rPr>
      </w:pPr>
      <w:r w:rsidRPr="00D63CDD">
        <w:rPr>
          <w:rFonts w:ascii="Noto Sans" w:hAnsi="Noto Sans" w:cs="Noto Sans"/>
          <w:sz w:val="20"/>
          <w:szCs w:val="20"/>
          <w:lang w:val="es-MX"/>
        </w:rPr>
        <w:t xml:space="preserve">Atendiendo a las características de la prestación del servicio, el mismo se formalizará mediante la modalidad de CONTRATO ABIERTO, por lo que se establecerá un presupuesto mínimo y máximo susceptible de ejercerse, durante la vigencia del contrato. </w:t>
      </w:r>
    </w:p>
    <w:p w14:paraId="272CD19D" w14:textId="77777777" w:rsidR="00B016E8" w:rsidRPr="00D63CDD" w:rsidRDefault="00B016E8" w:rsidP="00B016E8">
      <w:pPr>
        <w:ind w:left="-142" w:right="15"/>
        <w:jc w:val="both"/>
        <w:rPr>
          <w:rFonts w:ascii="Noto Sans" w:hAnsi="Noto Sans" w:cs="Noto Sans"/>
          <w:sz w:val="20"/>
          <w:szCs w:val="20"/>
          <w:lang w:val="es-MX"/>
        </w:rPr>
      </w:pPr>
    </w:p>
    <w:p w14:paraId="7D724DB9" w14:textId="47DFF60C" w:rsidR="00B016E8" w:rsidRDefault="00B016E8" w:rsidP="00FE3935">
      <w:pPr>
        <w:ind w:left="-142" w:right="15"/>
        <w:jc w:val="both"/>
        <w:rPr>
          <w:rFonts w:ascii="Noto Sans" w:hAnsi="Noto Sans" w:cs="Noto Sans"/>
          <w:sz w:val="20"/>
          <w:szCs w:val="20"/>
          <w:lang w:val="es-MX"/>
        </w:rPr>
      </w:pPr>
      <w:r w:rsidRPr="00D63CDD">
        <w:rPr>
          <w:rFonts w:ascii="Noto Sans" w:hAnsi="Noto Sans" w:cs="Noto Sans"/>
          <w:sz w:val="20"/>
          <w:szCs w:val="20"/>
          <w:lang w:val="es-MX"/>
        </w:rPr>
        <w:t xml:space="preserve">Tratándose de una contratación entre entidades, en lo que respecta al presupuesto mínimo y máximo que podrá ejercerse, se establece que la cantidad o presupuesto mínimo corresponderá al cuarenta por ciento de la cantidad o presupuesto máximo; sin que sea forzoso a “EL INSTITUTO” ejercer el </w:t>
      </w:r>
      <w:r w:rsidR="00DA2650" w:rsidRPr="00D63CDD">
        <w:rPr>
          <w:rFonts w:ascii="Noto Sans" w:hAnsi="Noto Sans" w:cs="Noto Sans"/>
          <w:sz w:val="20"/>
          <w:szCs w:val="20"/>
          <w:lang w:val="es-MX"/>
        </w:rPr>
        <w:t>porcentaje correspondiente</w:t>
      </w:r>
      <w:r w:rsidRPr="00D63CDD">
        <w:rPr>
          <w:rFonts w:ascii="Noto Sans" w:hAnsi="Noto Sans" w:cs="Noto Sans"/>
          <w:sz w:val="20"/>
          <w:szCs w:val="20"/>
          <w:lang w:val="es-MX"/>
        </w:rPr>
        <w:t xml:space="preserve"> al presupuesto mínimo establecido, si durante la vigencia del contrato que al efecto se celebre, se configura la existencia de causas justificadas que extingan la necesidad de dar continuidad al servicio, en cuyo caso, se dará inicio al procedimiento de terminación anticipada, sin responsabilidad alguna para “EL INSTITUTO”, ni para la dependencia en calidad de proveedor. </w:t>
      </w:r>
    </w:p>
    <w:p w14:paraId="5EA6AF75" w14:textId="523089F3" w:rsidR="00B016E8" w:rsidRPr="00D63CDD" w:rsidRDefault="00B016E8" w:rsidP="00B016E8">
      <w:pPr>
        <w:ind w:left="-142"/>
        <w:jc w:val="both"/>
        <w:rPr>
          <w:rFonts w:ascii="Noto Sans" w:hAnsi="Noto Sans" w:cs="Noto Sans"/>
          <w:sz w:val="20"/>
          <w:szCs w:val="20"/>
          <w:lang w:val="es-MX"/>
        </w:rPr>
      </w:pPr>
      <w:r w:rsidRPr="00D63CDD">
        <w:rPr>
          <w:rFonts w:ascii="Noto Sans" w:hAnsi="Noto Sans" w:cs="Noto Sans"/>
          <w:sz w:val="20"/>
          <w:szCs w:val="20"/>
          <w:lang w:val="es-MX"/>
        </w:rPr>
        <w:lastRenderedPageBreak/>
        <w:t xml:space="preserve">En el caso de que “EL PROVEEDOR” sea una persona moral o física, la cantidad o presupuesto mínimo no podrá ser inferior al cuarenta por ciento de la cantidad o presupuesto máximo, de acuerdo con lo establecido en el artículo </w:t>
      </w:r>
      <w:r w:rsidRPr="00751093">
        <w:rPr>
          <w:rFonts w:ascii="Noto Sans" w:hAnsi="Noto Sans" w:cs="Noto Sans"/>
          <w:sz w:val="20"/>
          <w:szCs w:val="20"/>
          <w:lang w:val="es-MX"/>
        </w:rPr>
        <w:t>68, fracción I, de la Ley de Adquisiciones</w:t>
      </w:r>
      <w:r w:rsidRPr="00D63CDD">
        <w:rPr>
          <w:rFonts w:ascii="Noto Sans" w:hAnsi="Noto Sans" w:cs="Noto Sans"/>
          <w:sz w:val="20"/>
          <w:szCs w:val="20"/>
          <w:lang w:val="es-MX"/>
        </w:rPr>
        <w:t xml:space="preserve"> Arrendamientos y Servicios del Sector Público.</w:t>
      </w:r>
    </w:p>
    <w:p w14:paraId="6A688FA1" w14:textId="77777777" w:rsidR="00B016E8" w:rsidRPr="00D63CDD" w:rsidRDefault="00B016E8" w:rsidP="00B016E8">
      <w:pPr>
        <w:ind w:left="-142"/>
        <w:jc w:val="both"/>
        <w:rPr>
          <w:rFonts w:ascii="Noto Sans" w:hAnsi="Noto Sans" w:cs="Noto Sans"/>
          <w:sz w:val="20"/>
          <w:szCs w:val="20"/>
          <w:lang w:val="es-MX"/>
        </w:rPr>
      </w:pPr>
    </w:p>
    <w:p w14:paraId="1A01D49F" w14:textId="4E091CE3" w:rsidR="00B016E8" w:rsidRPr="00D63CDD" w:rsidRDefault="00B016E8" w:rsidP="002A3AE2">
      <w:pPr>
        <w:ind w:left="698" w:right="-234" w:hanging="840"/>
        <w:jc w:val="both"/>
        <w:rPr>
          <w:rFonts w:ascii="Noto Sans" w:hAnsi="Noto Sans" w:cs="Noto Sans"/>
          <w:b/>
          <w:bCs/>
          <w:sz w:val="20"/>
          <w:szCs w:val="20"/>
          <w:lang w:val="es-MX"/>
        </w:rPr>
      </w:pPr>
      <w:r w:rsidRPr="00D63CDD">
        <w:rPr>
          <w:rFonts w:ascii="Noto Sans" w:hAnsi="Noto Sans" w:cs="Noto Sans"/>
          <w:b/>
          <w:bCs/>
          <w:sz w:val="20"/>
          <w:szCs w:val="20"/>
          <w:lang w:val="es-MX"/>
        </w:rPr>
        <w:t xml:space="preserve">l) </w:t>
      </w:r>
      <w:r w:rsidR="002A3AE2">
        <w:rPr>
          <w:rFonts w:ascii="Noto Sans" w:hAnsi="Noto Sans" w:cs="Noto Sans"/>
          <w:b/>
          <w:bCs/>
          <w:sz w:val="20"/>
          <w:szCs w:val="20"/>
          <w:lang w:val="es-MX"/>
        </w:rPr>
        <w:tab/>
      </w:r>
      <w:r w:rsidRPr="00D63CDD">
        <w:rPr>
          <w:rFonts w:ascii="Noto Sans" w:hAnsi="Noto Sans" w:cs="Noto Sans"/>
          <w:b/>
          <w:bCs/>
          <w:sz w:val="20"/>
          <w:szCs w:val="20"/>
          <w:lang w:val="es-MX"/>
        </w:rPr>
        <w:t>Establecer los mecanismos de comprobación, supervisión y verificación de los bienes o de los servicios contratados y efectivamente entregados o prestados, así como del cumplimiento de las requisiciones de cada entregable.</w:t>
      </w:r>
    </w:p>
    <w:p w14:paraId="6471D420" w14:textId="77777777" w:rsidR="00B016E8" w:rsidRPr="00D63CDD" w:rsidRDefault="00B016E8" w:rsidP="00B016E8">
      <w:pPr>
        <w:ind w:left="-142"/>
        <w:jc w:val="both"/>
        <w:rPr>
          <w:rFonts w:ascii="Noto Sans" w:hAnsi="Noto Sans" w:cs="Noto Sans"/>
          <w:sz w:val="20"/>
          <w:szCs w:val="20"/>
          <w:lang w:val="es-MX"/>
        </w:rPr>
      </w:pPr>
    </w:p>
    <w:p w14:paraId="4A539AC2" w14:textId="77777777" w:rsidR="00B016E8" w:rsidRPr="00D63CDD" w:rsidRDefault="00D11425" w:rsidP="00B016E8">
      <w:pPr>
        <w:ind w:left="-142"/>
        <w:jc w:val="both"/>
        <w:rPr>
          <w:rFonts w:ascii="Noto Sans" w:hAnsi="Noto Sans" w:cs="Noto Sans"/>
          <w:sz w:val="20"/>
          <w:szCs w:val="20"/>
          <w:lang w:val="es-MX"/>
        </w:rPr>
      </w:pPr>
      <w:r w:rsidRPr="00D63CDD">
        <w:rPr>
          <w:rFonts w:ascii="Noto Sans" w:eastAsia="Times New Roman" w:hAnsi="Noto Sans" w:cs="Noto Sans"/>
          <w:sz w:val="20"/>
          <w:szCs w:val="20"/>
          <w:lang w:val="es-MX" w:eastAsia="es-MX"/>
        </w:rPr>
        <w:t>La Coordinación Técnica de Difusión a través del administrador del contrato coordinará y verificará los servicios objeto del contrato.</w:t>
      </w:r>
    </w:p>
    <w:p w14:paraId="2C6C9E34" w14:textId="77777777" w:rsidR="00B016E8" w:rsidRPr="00D63CDD" w:rsidRDefault="00B016E8" w:rsidP="00B016E8">
      <w:pPr>
        <w:ind w:left="-142"/>
        <w:jc w:val="both"/>
        <w:rPr>
          <w:rFonts w:ascii="Noto Sans" w:hAnsi="Noto Sans" w:cs="Noto Sans"/>
          <w:sz w:val="20"/>
          <w:szCs w:val="20"/>
          <w:lang w:val="es-MX"/>
        </w:rPr>
      </w:pPr>
    </w:p>
    <w:p w14:paraId="23BDD12A" w14:textId="77777777" w:rsidR="00D63CDD" w:rsidRDefault="00D11425" w:rsidP="00D63CDD">
      <w:pPr>
        <w:ind w:left="-142"/>
        <w:jc w:val="both"/>
        <w:rPr>
          <w:rFonts w:ascii="Noto Sans" w:hAnsi="Noto Sans" w:cs="Noto Sans"/>
          <w:sz w:val="20"/>
          <w:szCs w:val="20"/>
          <w:lang w:val="es-MX"/>
        </w:rPr>
      </w:pPr>
      <w:r w:rsidRPr="00D63CDD">
        <w:rPr>
          <w:rFonts w:ascii="Noto Sans" w:eastAsia="Times New Roman" w:hAnsi="Noto Sans" w:cs="Noto Sans"/>
          <w:sz w:val="20"/>
          <w:szCs w:val="20"/>
          <w:lang w:val="es-MX" w:eastAsia="es-MX"/>
        </w:rPr>
        <w:t>Todos los materiales para difundir serán proporcionados por el instituto, por medio de la Coordinación Técnica de Difusión a través del administrador del contrato y en caso de que el proveedor desarrolle algún material para espacios publicitarios nuevos, éstos deberán ser aprobados por la Coordinación Técnica de Difusión para su correcta difusión.</w:t>
      </w:r>
    </w:p>
    <w:p w14:paraId="67C85E0F" w14:textId="77777777" w:rsidR="00D63CDD" w:rsidRDefault="00D63CDD" w:rsidP="00D63CDD">
      <w:pPr>
        <w:ind w:left="-142"/>
        <w:jc w:val="both"/>
        <w:rPr>
          <w:rFonts w:ascii="Noto Sans" w:hAnsi="Noto Sans" w:cs="Noto Sans"/>
          <w:sz w:val="20"/>
          <w:szCs w:val="20"/>
          <w:lang w:val="es-MX"/>
        </w:rPr>
      </w:pPr>
    </w:p>
    <w:p w14:paraId="6F33785F" w14:textId="77777777" w:rsidR="00D63CDD" w:rsidRDefault="00D11425" w:rsidP="00D63CDD">
      <w:pPr>
        <w:ind w:left="-142"/>
        <w:jc w:val="both"/>
        <w:rPr>
          <w:rFonts w:ascii="Noto Sans" w:hAnsi="Noto Sans" w:cs="Noto Sans"/>
          <w:sz w:val="20"/>
          <w:szCs w:val="20"/>
          <w:lang w:val="es-MX"/>
        </w:rPr>
      </w:pPr>
      <w:r w:rsidRPr="00D63CDD">
        <w:rPr>
          <w:rFonts w:ascii="Noto Sans" w:eastAsia="Times New Roman" w:hAnsi="Noto Sans" w:cs="Noto Sans"/>
          <w:sz w:val="20"/>
          <w:szCs w:val="20"/>
          <w:lang w:val="es-MX" w:eastAsia="es-MX"/>
        </w:rPr>
        <w:t>El proveedor, a fin de acreditar el cumplimiento de sus obligaciones contractuales, se obliga a entregar los documentos y testigos derivados de la orden de servicio para su revisión dentro de los cinco días hábiles posteriores al vencimiento de dicha orden.</w:t>
      </w:r>
    </w:p>
    <w:p w14:paraId="51C33298" w14:textId="77777777" w:rsidR="00D63CDD" w:rsidRDefault="00D63CDD" w:rsidP="00D63CDD">
      <w:pPr>
        <w:ind w:left="-142"/>
        <w:jc w:val="both"/>
        <w:rPr>
          <w:rFonts w:ascii="Noto Sans" w:hAnsi="Noto Sans" w:cs="Noto Sans"/>
          <w:sz w:val="20"/>
          <w:szCs w:val="20"/>
          <w:lang w:val="es-MX"/>
        </w:rPr>
      </w:pPr>
    </w:p>
    <w:p w14:paraId="7476454C" w14:textId="77777777" w:rsidR="00D63CDD" w:rsidRDefault="00D11425" w:rsidP="00D63CDD">
      <w:pPr>
        <w:ind w:left="-142"/>
        <w:jc w:val="both"/>
        <w:rPr>
          <w:rFonts w:ascii="Noto Sans" w:hAnsi="Noto Sans" w:cs="Noto Sans"/>
          <w:sz w:val="20"/>
          <w:szCs w:val="20"/>
          <w:lang w:val="es-MX"/>
        </w:rPr>
      </w:pPr>
      <w:r w:rsidRPr="00D63CDD">
        <w:rPr>
          <w:rFonts w:ascii="Noto Sans" w:eastAsia="Times New Roman" w:hAnsi="Noto Sans" w:cs="Noto Sans"/>
          <w:sz w:val="20"/>
          <w:szCs w:val="20"/>
          <w:lang w:val="es-MX" w:eastAsia="es-MX"/>
        </w:rPr>
        <w:t xml:space="preserve">Adicional a lo antes referido, de considerarlo necesario </w:t>
      </w:r>
      <w:r w:rsidRPr="00D63CDD">
        <w:rPr>
          <w:rFonts w:ascii="Noto Sans" w:eastAsia="Times New Roman" w:hAnsi="Noto Sans" w:cs="Noto Sans"/>
          <w:b/>
          <w:bCs/>
          <w:sz w:val="20"/>
          <w:szCs w:val="20"/>
          <w:lang w:val="es-MX" w:eastAsia="es-MX"/>
        </w:rPr>
        <w:t>EL INSTITUTO</w:t>
      </w:r>
      <w:r w:rsidRPr="00D63CDD">
        <w:rPr>
          <w:rFonts w:ascii="Noto Sans" w:eastAsia="Times New Roman" w:hAnsi="Noto Sans" w:cs="Noto Sans"/>
          <w:sz w:val="20"/>
          <w:szCs w:val="20"/>
          <w:lang w:val="es-MX" w:eastAsia="es-MX"/>
        </w:rPr>
        <w:t xml:space="preserve"> podrá solicitar a </w:t>
      </w:r>
      <w:r w:rsidRPr="00D63CDD">
        <w:rPr>
          <w:rFonts w:ascii="Noto Sans" w:eastAsia="Times New Roman" w:hAnsi="Noto Sans" w:cs="Noto Sans"/>
          <w:b/>
          <w:bCs/>
          <w:sz w:val="20"/>
          <w:szCs w:val="20"/>
          <w:lang w:val="es-MX" w:eastAsia="es-MX"/>
        </w:rPr>
        <w:t>EL PROVEEDOR</w:t>
      </w:r>
      <w:r w:rsidRPr="00D63CDD">
        <w:rPr>
          <w:rFonts w:ascii="Noto Sans" w:eastAsia="Times New Roman" w:hAnsi="Noto Sans" w:cs="Noto Sans"/>
          <w:sz w:val="20"/>
          <w:szCs w:val="20"/>
          <w:lang w:val="es-MX" w:eastAsia="es-MX"/>
        </w:rPr>
        <w:t xml:space="preserve"> durante la vigencia de la orden a través de la Coordinación Técnica de Difusión, por conducto del administrador del contrato, los informes correspondientes a dichas órdenes de servicio con la temporalidad que ésta determine, a fin de verificar el avance del cumplimiento de esta.</w:t>
      </w:r>
    </w:p>
    <w:p w14:paraId="4B3A0755" w14:textId="77777777" w:rsidR="00D63CDD" w:rsidRDefault="00D63CDD" w:rsidP="00D63CDD">
      <w:pPr>
        <w:ind w:left="-142"/>
        <w:jc w:val="both"/>
        <w:rPr>
          <w:rFonts w:ascii="Noto Sans" w:hAnsi="Noto Sans" w:cs="Noto Sans"/>
          <w:sz w:val="20"/>
          <w:szCs w:val="20"/>
          <w:lang w:val="es-MX"/>
        </w:rPr>
      </w:pPr>
    </w:p>
    <w:p w14:paraId="3657ADD8" w14:textId="10936680" w:rsidR="00D11425" w:rsidRPr="00D63CDD" w:rsidRDefault="00D11425" w:rsidP="00D63CDD">
      <w:pPr>
        <w:ind w:left="-142"/>
        <w:jc w:val="both"/>
        <w:rPr>
          <w:rFonts w:ascii="Noto Sans" w:hAnsi="Noto Sans" w:cs="Noto Sans"/>
          <w:sz w:val="20"/>
          <w:szCs w:val="20"/>
          <w:lang w:val="es-MX"/>
        </w:rPr>
      </w:pPr>
      <w:r w:rsidRPr="00D63CDD">
        <w:rPr>
          <w:rFonts w:ascii="Noto Sans" w:eastAsia="Times New Roman" w:hAnsi="Noto Sans" w:cs="Noto Sans"/>
          <w:sz w:val="20"/>
          <w:szCs w:val="20"/>
          <w:lang w:val="es-MX" w:eastAsia="es-MX"/>
        </w:rPr>
        <w:t xml:space="preserve">Las entregas antes descritas, </w:t>
      </w:r>
      <w:r w:rsidRPr="00D63CDD">
        <w:rPr>
          <w:rFonts w:ascii="Noto Sans" w:eastAsia="Times New Roman" w:hAnsi="Noto Sans" w:cs="Noto Sans"/>
          <w:b/>
          <w:bCs/>
          <w:sz w:val="20"/>
          <w:szCs w:val="20"/>
          <w:lang w:val="es-MX" w:eastAsia="es-MX"/>
        </w:rPr>
        <w:t>EL PROVEEDOR</w:t>
      </w:r>
      <w:r w:rsidRPr="00D63CDD">
        <w:rPr>
          <w:rFonts w:ascii="Noto Sans" w:eastAsia="Times New Roman" w:hAnsi="Noto Sans" w:cs="Noto Sans"/>
          <w:sz w:val="20"/>
          <w:szCs w:val="20"/>
          <w:lang w:val="es-MX" w:eastAsia="es-MX"/>
        </w:rPr>
        <w:t xml:space="preserve"> las deberá realizar en la Coordinación Técnica de Difusión sita en la Calle Gobernador Tiburcio Montiel número 15 piso 5, Colonia San Miguel Chapultepec, C.P. 11850, Alcaldía Miguel Hidalgo, en la Cd. de México, de lunes a viernes de las 9:00 a las 18:00 horas, tal como se especifica en el </w:t>
      </w:r>
      <w:r w:rsidRPr="00D63CDD">
        <w:rPr>
          <w:rFonts w:ascii="Noto Sans" w:eastAsia="Times New Roman" w:hAnsi="Noto Sans" w:cs="Noto Sans"/>
          <w:b/>
          <w:bCs/>
          <w:sz w:val="20"/>
          <w:szCs w:val="20"/>
          <w:lang w:val="es-MX" w:eastAsia="es-MX"/>
        </w:rPr>
        <w:t xml:space="preserve">ANEXO TÉCNICO PARA LA PRESTACIÓN DEL SERVICIO DE DIFUSIÓN DE LAS CAMPAÑAS INSTITUCIONALES </w:t>
      </w:r>
      <w:r w:rsidR="004F4F07">
        <w:rPr>
          <w:rFonts w:ascii="Noto Sans" w:eastAsia="Times New Roman" w:hAnsi="Noto Sans" w:cs="Noto Sans"/>
          <w:b/>
          <w:bCs/>
          <w:sz w:val="20"/>
          <w:szCs w:val="20"/>
          <w:lang w:val="es-MX" w:eastAsia="es-MX"/>
        </w:rPr>
        <w:t>2026</w:t>
      </w:r>
      <w:r w:rsidRPr="00D63CDD">
        <w:rPr>
          <w:rFonts w:ascii="Noto Sans" w:eastAsia="Times New Roman" w:hAnsi="Noto Sans" w:cs="Noto Sans"/>
          <w:b/>
          <w:bCs/>
          <w:sz w:val="20"/>
          <w:szCs w:val="20"/>
          <w:lang w:val="es-MX" w:eastAsia="es-MX"/>
        </w:rPr>
        <w:t>, A TRAVÉS DE PUBLICIDAD EN MEDIOS COMPLEMENTARIOS ELECTRÓNICOS (PRESENCIA DE MARCA EN EVENTOS MASIVOS, SPOTEO EN PANTALLAS DIGITALES, SPOTS DE AUDIO EN ESPACIOS PÚBLICOS Y ANUNCIOS EN CONEXIONES DE DISPOSITIVO MÓVIL, ENTRE OTROS SIMILARES).</w:t>
      </w:r>
    </w:p>
    <w:p w14:paraId="5CB500AC" w14:textId="77777777" w:rsidR="00D11425" w:rsidRPr="00D63CDD" w:rsidRDefault="00D11425" w:rsidP="00D11425">
      <w:pPr>
        <w:spacing w:line="276" w:lineRule="auto"/>
        <w:jc w:val="both"/>
        <w:rPr>
          <w:rFonts w:ascii="Noto Sans" w:eastAsia="Times New Roman" w:hAnsi="Noto Sans" w:cs="Noto Sans"/>
          <w:sz w:val="20"/>
          <w:szCs w:val="20"/>
          <w:lang w:val="es-MX" w:eastAsia="es-MX"/>
        </w:rPr>
      </w:pPr>
    </w:p>
    <w:p w14:paraId="26E7B215" w14:textId="4BD859E5" w:rsidR="00D11425" w:rsidRPr="00D63CDD" w:rsidRDefault="00D11425" w:rsidP="00D63CDD">
      <w:pPr>
        <w:spacing w:line="276" w:lineRule="auto"/>
        <w:ind w:left="-142"/>
        <w:jc w:val="both"/>
        <w:rPr>
          <w:rFonts w:ascii="Noto Sans" w:eastAsia="Times New Roman" w:hAnsi="Noto Sans" w:cs="Noto Sans"/>
          <w:sz w:val="20"/>
          <w:szCs w:val="20"/>
          <w:lang w:val="es-MX" w:eastAsia="es-MX"/>
        </w:rPr>
      </w:pPr>
      <w:r w:rsidRPr="00D63CDD">
        <w:rPr>
          <w:rFonts w:ascii="Noto Sans" w:eastAsia="Times New Roman" w:hAnsi="Noto Sans" w:cs="Noto Sans"/>
          <w:sz w:val="20"/>
          <w:szCs w:val="20"/>
          <w:lang w:val="es-MX" w:eastAsia="es-MX"/>
        </w:rPr>
        <w:t>La difusión de los mensajes podrá ser verificada con reportes de monitoreo, en caso de que EL INSTITUTO llegase a contratar una empresa especializada para dicho efecto.</w:t>
      </w:r>
    </w:p>
    <w:p w14:paraId="21A7A32D" w14:textId="77777777" w:rsidR="00D11425" w:rsidRPr="002A3AE2" w:rsidRDefault="00D11425" w:rsidP="00D63CDD">
      <w:pPr>
        <w:spacing w:line="276" w:lineRule="auto"/>
        <w:ind w:left="-142"/>
        <w:jc w:val="both"/>
        <w:rPr>
          <w:rFonts w:ascii="Noto Sans" w:eastAsia="Times New Roman" w:hAnsi="Noto Sans" w:cs="Noto Sans"/>
          <w:sz w:val="12"/>
          <w:szCs w:val="12"/>
          <w:lang w:val="es-MX" w:eastAsia="es-MX"/>
        </w:rPr>
      </w:pPr>
    </w:p>
    <w:p w14:paraId="2494D6B1" w14:textId="77777777" w:rsidR="00FE3935" w:rsidRDefault="00FE3935">
      <w:pPr>
        <w:rPr>
          <w:rFonts w:ascii="Noto Sans" w:eastAsia="Times New Roman" w:hAnsi="Noto Sans" w:cs="Noto Sans"/>
          <w:sz w:val="20"/>
          <w:szCs w:val="20"/>
          <w:lang w:val="es-MX" w:eastAsia="es-MX"/>
        </w:rPr>
      </w:pPr>
      <w:r>
        <w:rPr>
          <w:rFonts w:ascii="Noto Sans" w:eastAsia="Times New Roman" w:hAnsi="Noto Sans" w:cs="Noto Sans"/>
          <w:sz w:val="20"/>
          <w:szCs w:val="20"/>
          <w:lang w:val="es-MX" w:eastAsia="es-MX"/>
        </w:rPr>
        <w:br w:type="page"/>
      </w:r>
    </w:p>
    <w:p w14:paraId="372BBD21" w14:textId="7CFD1D50" w:rsidR="00D11425" w:rsidRPr="00D63CDD" w:rsidRDefault="00D11425" w:rsidP="00D63CDD">
      <w:pPr>
        <w:spacing w:line="276" w:lineRule="auto"/>
        <w:ind w:left="-142"/>
        <w:jc w:val="both"/>
        <w:rPr>
          <w:rFonts w:ascii="Noto Sans" w:eastAsia="Times New Roman" w:hAnsi="Noto Sans" w:cs="Noto Sans"/>
          <w:sz w:val="20"/>
          <w:szCs w:val="20"/>
          <w:lang w:val="es-MX" w:eastAsia="es-MX"/>
        </w:rPr>
      </w:pPr>
      <w:r w:rsidRPr="00D63CDD">
        <w:rPr>
          <w:rFonts w:ascii="Noto Sans" w:eastAsia="Times New Roman" w:hAnsi="Noto Sans" w:cs="Noto Sans"/>
          <w:sz w:val="20"/>
          <w:szCs w:val="20"/>
          <w:lang w:val="es-MX" w:eastAsia="es-MX"/>
        </w:rPr>
        <w:lastRenderedPageBreak/>
        <w:t>El administrador del contrato, dependiente de la Coordinación Técnica de Difusión validará los testigos y reportes entregados por EL PROVEEDOR con la Carta Revisión de Testigos verificados por el personal de medios complementarios y en caso de que cumplan con lo solicitado, éste emitirá un oficio con la validación del material para que se inicie el trámite de pago; en caso de que en la revisión se llegue a detectar atraso, cumplimiento parcial o deficiente en la prestación del servicio solicitado en la orden, la Carta Revisión de Testigos deberá hacer notar dichos incumplimientos, y el administrador del contrato emitirá oficio de validación que incluya las penas convencionales y/o deducciones en las que EL PROVEEDOR haya incurrido, a fin de que éste emita la nota de crédito correspondiente.</w:t>
      </w:r>
    </w:p>
    <w:p w14:paraId="2533E612" w14:textId="77777777" w:rsidR="00D11425" w:rsidRPr="002A3AE2" w:rsidRDefault="00D11425" w:rsidP="00D63CDD">
      <w:pPr>
        <w:spacing w:line="276" w:lineRule="auto"/>
        <w:ind w:left="-142"/>
        <w:jc w:val="both"/>
        <w:rPr>
          <w:rFonts w:ascii="Noto Sans" w:eastAsia="Times New Roman" w:hAnsi="Noto Sans" w:cs="Noto Sans"/>
          <w:sz w:val="12"/>
          <w:szCs w:val="12"/>
          <w:lang w:val="es-MX" w:eastAsia="es-MX"/>
        </w:rPr>
      </w:pPr>
    </w:p>
    <w:p w14:paraId="33B6F9EA" w14:textId="10040780" w:rsidR="00D11425" w:rsidRPr="00D63CDD" w:rsidRDefault="00D11425" w:rsidP="00D63CDD">
      <w:pPr>
        <w:spacing w:line="276" w:lineRule="auto"/>
        <w:ind w:left="-142"/>
        <w:jc w:val="both"/>
        <w:rPr>
          <w:rFonts w:ascii="Noto Sans" w:eastAsia="Times New Roman" w:hAnsi="Noto Sans" w:cs="Noto Sans"/>
          <w:sz w:val="20"/>
          <w:szCs w:val="20"/>
          <w:lang w:val="es-MX" w:eastAsia="es-MX"/>
        </w:rPr>
      </w:pPr>
      <w:r w:rsidRPr="00D63CDD">
        <w:rPr>
          <w:rFonts w:ascii="Noto Sans" w:eastAsia="Times New Roman" w:hAnsi="Noto Sans" w:cs="Noto Sans"/>
          <w:sz w:val="20"/>
          <w:szCs w:val="20"/>
          <w:lang w:val="es-MX" w:eastAsia="es-MX"/>
        </w:rPr>
        <w:t xml:space="preserve">Cualquier incumplimiento a lo establecido en el contrato y sus anexos, constituye una causal de rescisión de contrato de conformidad con el </w:t>
      </w:r>
      <w:r w:rsidR="00B016E8" w:rsidRPr="00D63CDD">
        <w:rPr>
          <w:rFonts w:ascii="Noto Sans" w:hAnsi="Noto Sans" w:cs="Noto Sans"/>
          <w:sz w:val="20"/>
          <w:szCs w:val="20"/>
          <w:lang w:val="es-MX"/>
        </w:rPr>
        <w:t xml:space="preserve">artículo </w:t>
      </w:r>
      <w:r w:rsidR="00B016E8" w:rsidRPr="00751093">
        <w:rPr>
          <w:rFonts w:ascii="Noto Sans" w:hAnsi="Noto Sans" w:cs="Noto Sans"/>
          <w:sz w:val="20"/>
          <w:szCs w:val="20"/>
          <w:lang w:val="es-MX"/>
        </w:rPr>
        <w:t>77 de la Ley de Adquisiciones,</w:t>
      </w:r>
      <w:r w:rsidR="00B016E8" w:rsidRPr="00D63CDD">
        <w:rPr>
          <w:rFonts w:ascii="Noto Sans" w:hAnsi="Noto Sans" w:cs="Noto Sans"/>
          <w:sz w:val="20"/>
          <w:szCs w:val="20"/>
          <w:lang w:val="es-MX"/>
        </w:rPr>
        <w:t xml:space="preserve"> Arrendamientos </w:t>
      </w:r>
      <w:r w:rsidRPr="00D63CDD">
        <w:rPr>
          <w:rFonts w:ascii="Noto Sans" w:eastAsia="Times New Roman" w:hAnsi="Noto Sans" w:cs="Noto Sans"/>
          <w:sz w:val="20"/>
          <w:szCs w:val="20"/>
          <w:lang w:val="es-MX" w:eastAsia="es-MX"/>
        </w:rPr>
        <w:t>y Servicios del sector Público y 98 segundo párrafo de su reglamento, sin necesidad de agotar el presupuesto mínimo y sin más responsabilidad para EL INSTITUTO.</w:t>
      </w:r>
    </w:p>
    <w:p w14:paraId="0D9E46AD" w14:textId="77777777" w:rsidR="00D11425" w:rsidRPr="00D63CDD" w:rsidRDefault="00D11425" w:rsidP="00D11425">
      <w:pPr>
        <w:spacing w:line="276" w:lineRule="auto"/>
        <w:jc w:val="both"/>
        <w:rPr>
          <w:rFonts w:ascii="Noto Sans" w:eastAsia="Times New Roman" w:hAnsi="Noto Sans" w:cs="Noto Sans"/>
          <w:sz w:val="20"/>
          <w:szCs w:val="20"/>
          <w:lang w:val="es-MX" w:eastAsia="es-MX"/>
        </w:rPr>
      </w:pPr>
    </w:p>
    <w:p w14:paraId="279F7260" w14:textId="3BE71CFF" w:rsidR="00A67757" w:rsidRPr="00D32AC0" w:rsidRDefault="00A67757" w:rsidP="002A3AE2">
      <w:pPr>
        <w:ind w:left="698" w:right="-234" w:hanging="840"/>
        <w:jc w:val="both"/>
        <w:rPr>
          <w:rFonts w:ascii="Noto Sans" w:hAnsi="Noto Sans" w:cs="Noto Sans"/>
          <w:b/>
          <w:bCs/>
          <w:sz w:val="20"/>
          <w:szCs w:val="20"/>
          <w:lang w:val="es-MX"/>
        </w:rPr>
      </w:pPr>
      <w:r w:rsidRPr="00F71168">
        <w:rPr>
          <w:rFonts w:ascii="Noto Sans" w:hAnsi="Noto Sans" w:cs="Noto Sans"/>
          <w:b/>
          <w:bCs/>
          <w:sz w:val="20"/>
          <w:szCs w:val="20"/>
          <w:lang w:val="es-MX"/>
        </w:rPr>
        <w:t xml:space="preserve">m) </w:t>
      </w:r>
      <w:r w:rsidR="002A3AE2">
        <w:rPr>
          <w:rFonts w:ascii="Noto Sans" w:hAnsi="Noto Sans" w:cs="Noto Sans"/>
          <w:b/>
          <w:bCs/>
          <w:sz w:val="20"/>
          <w:szCs w:val="20"/>
          <w:lang w:val="es-MX"/>
        </w:rPr>
        <w:tab/>
      </w:r>
      <w:r w:rsidR="00EE1473" w:rsidRPr="00F71168">
        <w:rPr>
          <w:rFonts w:ascii="Noto Sans" w:hAnsi="Noto Sans" w:cs="Noto Sans"/>
          <w:b/>
          <w:bCs/>
          <w:sz w:val="21"/>
          <w:szCs w:val="21"/>
          <w:lang w:val="es-MX"/>
        </w:rPr>
        <w:t xml:space="preserve">En caso de que se solicite el otorgamiento de anticipo, deberá señalarse el porcentaje y forma de amortización </w:t>
      </w:r>
      <w:proofErr w:type="gramStart"/>
      <w:r w:rsidR="00EE1473" w:rsidRPr="00F71168">
        <w:rPr>
          <w:rFonts w:ascii="Noto Sans" w:hAnsi="Noto Sans" w:cs="Noto Sans"/>
          <w:b/>
          <w:bCs/>
          <w:sz w:val="21"/>
          <w:szCs w:val="21"/>
          <w:lang w:val="es-MX"/>
        </w:rPr>
        <w:t>del mismo</w:t>
      </w:r>
      <w:proofErr w:type="gramEnd"/>
      <w:r w:rsidR="00EE1473" w:rsidRPr="00F71168">
        <w:rPr>
          <w:rFonts w:ascii="Noto Sans" w:hAnsi="Noto Sans" w:cs="Noto Sans"/>
          <w:b/>
          <w:bCs/>
          <w:sz w:val="21"/>
          <w:szCs w:val="21"/>
          <w:lang w:val="es-MX"/>
        </w:rPr>
        <w:t xml:space="preserve">, el cual debe ajustarse a las disposiciones establecidas en los artículos </w:t>
      </w:r>
      <w:r w:rsidR="00EE1473" w:rsidRPr="003772DA">
        <w:rPr>
          <w:rFonts w:ascii="Noto Sans" w:hAnsi="Noto Sans" w:cs="Noto Sans"/>
          <w:b/>
          <w:bCs/>
          <w:sz w:val="21"/>
          <w:szCs w:val="21"/>
          <w:lang w:val="es-MX"/>
        </w:rPr>
        <w:t xml:space="preserve">16, 66 </w:t>
      </w:r>
      <w:r w:rsidR="00EE1473" w:rsidRPr="0006182F">
        <w:rPr>
          <w:rFonts w:ascii="Noto Sans" w:hAnsi="Noto Sans" w:cs="Noto Sans"/>
          <w:b/>
          <w:bCs/>
          <w:sz w:val="20"/>
          <w:szCs w:val="20"/>
          <w:lang w:val="es-MX"/>
        </w:rPr>
        <w:t>fracciones</w:t>
      </w:r>
      <w:r w:rsidR="00EE1473" w:rsidRPr="003772DA">
        <w:rPr>
          <w:rFonts w:ascii="Noto Sans" w:hAnsi="Noto Sans" w:cs="Noto Sans"/>
          <w:b/>
          <w:bCs/>
          <w:sz w:val="21"/>
          <w:szCs w:val="21"/>
          <w:lang w:val="es-MX"/>
        </w:rPr>
        <w:t xml:space="preserve"> IX y X de la LAASSP</w:t>
      </w:r>
      <w:r w:rsidR="00EE1473" w:rsidRPr="00F71168">
        <w:rPr>
          <w:rFonts w:ascii="Noto Sans" w:hAnsi="Noto Sans" w:cs="Noto Sans"/>
          <w:b/>
          <w:bCs/>
          <w:sz w:val="21"/>
          <w:szCs w:val="21"/>
          <w:lang w:val="es-MX"/>
        </w:rPr>
        <w:t xml:space="preserve"> y </w:t>
      </w:r>
      <w:r w:rsidR="00EE1473">
        <w:rPr>
          <w:rFonts w:ascii="Noto Sans" w:hAnsi="Noto Sans" w:cs="Noto Sans"/>
          <w:b/>
          <w:bCs/>
          <w:sz w:val="21"/>
          <w:szCs w:val="21"/>
          <w:lang w:val="es-MX"/>
        </w:rPr>
        <w:t>126</w:t>
      </w:r>
      <w:r w:rsidR="00EE1473" w:rsidRPr="00F71168">
        <w:rPr>
          <w:rFonts w:ascii="Noto Sans" w:hAnsi="Noto Sans" w:cs="Noto Sans"/>
          <w:b/>
          <w:bCs/>
          <w:sz w:val="21"/>
          <w:szCs w:val="21"/>
          <w:lang w:val="es-MX"/>
        </w:rPr>
        <w:t xml:space="preserve"> fracción V del RLAASSP, y el numeral 4.2.7 del MAAGAASSP. Así como la justificación para el otorgamiento del anticipo. </w:t>
      </w:r>
      <w:r w:rsidR="00EE1473" w:rsidRPr="00341E55">
        <w:rPr>
          <w:rFonts w:ascii="Noto Sans" w:hAnsi="Noto Sans" w:cs="Noto Sans"/>
          <w:sz w:val="21"/>
          <w:szCs w:val="21"/>
          <w:lang w:val="es-MX"/>
        </w:rPr>
        <w:t>No aplica.</w:t>
      </w:r>
      <w:r w:rsidRPr="00D32AC0">
        <w:rPr>
          <w:rFonts w:ascii="Noto Sans" w:hAnsi="Noto Sans" w:cs="Noto Sans"/>
          <w:b/>
          <w:bCs/>
          <w:sz w:val="20"/>
          <w:szCs w:val="20"/>
          <w:lang w:val="es-MX"/>
        </w:rPr>
        <w:t xml:space="preserve"> </w:t>
      </w:r>
    </w:p>
    <w:p w14:paraId="2AF39CC0" w14:textId="77777777" w:rsidR="00A67757" w:rsidRPr="00F71168" w:rsidRDefault="00A67757" w:rsidP="00A67757">
      <w:pPr>
        <w:ind w:left="-142" w:right="-234"/>
        <w:jc w:val="both"/>
        <w:rPr>
          <w:rFonts w:ascii="Noto Sans" w:hAnsi="Noto Sans" w:cs="Noto Sans"/>
          <w:b/>
          <w:bCs/>
          <w:sz w:val="20"/>
          <w:szCs w:val="20"/>
          <w:lang w:val="es-MX"/>
        </w:rPr>
      </w:pPr>
    </w:p>
    <w:p w14:paraId="5ED13D5A" w14:textId="56641BC9" w:rsidR="00A67757" w:rsidRPr="00F71168" w:rsidRDefault="00A67757" w:rsidP="002A3AE2">
      <w:pPr>
        <w:ind w:left="698" w:right="-234" w:hanging="840"/>
        <w:jc w:val="both"/>
        <w:rPr>
          <w:rFonts w:ascii="Noto Sans" w:hAnsi="Noto Sans" w:cs="Noto Sans"/>
          <w:b/>
          <w:bCs/>
          <w:sz w:val="20"/>
          <w:szCs w:val="20"/>
          <w:lang w:val="es-MX"/>
        </w:rPr>
      </w:pPr>
      <w:r w:rsidRPr="00F71168">
        <w:rPr>
          <w:rFonts w:ascii="Noto Sans" w:hAnsi="Noto Sans" w:cs="Noto Sans"/>
          <w:b/>
          <w:bCs/>
          <w:sz w:val="20"/>
          <w:szCs w:val="20"/>
          <w:lang w:val="es-MX"/>
        </w:rPr>
        <w:t xml:space="preserve">n) </w:t>
      </w:r>
      <w:r w:rsidR="002A3AE2">
        <w:rPr>
          <w:rFonts w:ascii="Noto Sans" w:hAnsi="Noto Sans" w:cs="Noto Sans"/>
          <w:b/>
          <w:bCs/>
          <w:sz w:val="20"/>
          <w:szCs w:val="20"/>
          <w:lang w:val="es-MX"/>
        </w:rPr>
        <w:tab/>
      </w:r>
      <w:r w:rsidRPr="00F71168">
        <w:rPr>
          <w:rFonts w:ascii="Noto Sans" w:hAnsi="Noto Sans" w:cs="Noto Sans"/>
          <w:b/>
          <w:bCs/>
          <w:sz w:val="20"/>
          <w:szCs w:val="20"/>
          <w:lang w:val="es-MX"/>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D63CDD">
        <w:rPr>
          <w:rFonts w:ascii="Noto Sans" w:hAnsi="Noto Sans" w:cs="Noto Sans"/>
          <w:sz w:val="20"/>
          <w:szCs w:val="20"/>
          <w:lang w:val="es-MX"/>
        </w:rPr>
        <w:t>No aplica.</w:t>
      </w:r>
    </w:p>
    <w:p w14:paraId="1C2B8A1A" w14:textId="77777777" w:rsidR="00A67757" w:rsidRPr="00D63CDD" w:rsidRDefault="00A67757" w:rsidP="00A67757">
      <w:pPr>
        <w:ind w:left="-142" w:right="-234"/>
        <w:jc w:val="both"/>
        <w:rPr>
          <w:rFonts w:ascii="Noto Sans" w:hAnsi="Noto Sans" w:cs="Noto Sans"/>
          <w:b/>
          <w:bCs/>
          <w:sz w:val="20"/>
          <w:szCs w:val="20"/>
          <w:lang w:val="es-MX"/>
        </w:rPr>
      </w:pPr>
    </w:p>
    <w:p w14:paraId="4D5DCA35" w14:textId="598ADE1C" w:rsidR="00A67757" w:rsidRPr="00F71168" w:rsidRDefault="00A67757" w:rsidP="002A3AE2">
      <w:pPr>
        <w:ind w:left="698" w:right="-234" w:hanging="840"/>
        <w:jc w:val="both"/>
        <w:rPr>
          <w:rFonts w:ascii="Noto Sans" w:hAnsi="Noto Sans" w:cs="Noto Sans"/>
          <w:b/>
          <w:bCs/>
          <w:sz w:val="20"/>
          <w:szCs w:val="20"/>
          <w:lang w:val="es-MX"/>
        </w:rPr>
      </w:pPr>
      <w:r w:rsidRPr="00F71168">
        <w:rPr>
          <w:rFonts w:ascii="Noto Sans" w:hAnsi="Noto Sans" w:cs="Noto Sans"/>
          <w:b/>
          <w:bCs/>
          <w:sz w:val="20"/>
          <w:szCs w:val="20"/>
          <w:lang w:val="es-MX"/>
        </w:rPr>
        <w:t xml:space="preserve">o) </w:t>
      </w:r>
      <w:r w:rsidR="002A3AE2">
        <w:rPr>
          <w:rFonts w:ascii="Noto Sans" w:hAnsi="Noto Sans" w:cs="Noto Sans"/>
          <w:b/>
          <w:bCs/>
          <w:sz w:val="20"/>
          <w:szCs w:val="20"/>
          <w:lang w:val="es-MX"/>
        </w:rPr>
        <w:tab/>
      </w:r>
      <w:r w:rsidRPr="00F71168">
        <w:rPr>
          <w:rFonts w:ascii="Noto Sans" w:hAnsi="Noto Sans" w:cs="Noto Sans"/>
          <w:b/>
          <w:bCs/>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D63CDD">
        <w:rPr>
          <w:rFonts w:ascii="Noto Sans" w:hAnsi="Noto Sans" w:cs="Noto Sans"/>
          <w:sz w:val="20"/>
          <w:szCs w:val="20"/>
          <w:lang w:val="es-MX"/>
        </w:rPr>
        <w:t>No aplica.</w:t>
      </w:r>
    </w:p>
    <w:p w14:paraId="22232707" w14:textId="77777777" w:rsidR="00A67757" w:rsidRDefault="00A67757" w:rsidP="00A67757">
      <w:pPr>
        <w:ind w:left="-142" w:right="-234"/>
        <w:jc w:val="both"/>
        <w:rPr>
          <w:rFonts w:ascii="Noto Sans" w:hAnsi="Noto Sans" w:cs="Noto Sans"/>
          <w:b/>
          <w:bCs/>
          <w:sz w:val="20"/>
          <w:szCs w:val="20"/>
          <w:lang w:val="es-MX"/>
        </w:rPr>
      </w:pPr>
    </w:p>
    <w:p w14:paraId="6A101BB8" w14:textId="4BA73E6B" w:rsidR="00FE3935" w:rsidRDefault="00FE3935">
      <w:pPr>
        <w:rPr>
          <w:rFonts w:ascii="Noto Sans" w:hAnsi="Noto Sans" w:cs="Noto Sans"/>
          <w:b/>
          <w:bCs/>
          <w:sz w:val="20"/>
          <w:szCs w:val="20"/>
          <w:lang w:val="es-MX"/>
        </w:rPr>
      </w:pPr>
      <w:r>
        <w:rPr>
          <w:rFonts w:ascii="Noto Sans" w:hAnsi="Noto Sans" w:cs="Noto Sans"/>
          <w:b/>
          <w:bCs/>
          <w:sz w:val="20"/>
          <w:szCs w:val="20"/>
          <w:lang w:val="es-MX"/>
        </w:rPr>
        <w:br w:type="page"/>
      </w:r>
    </w:p>
    <w:p w14:paraId="6A125FF1" w14:textId="77777777" w:rsidR="00751093" w:rsidRDefault="00751093" w:rsidP="00A67757">
      <w:pPr>
        <w:ind w:left="-142" w:right="-234"/>
        <w:jc w:val="both"/>
        <w:rPr>
          <w:rFonts w:ascii="Noto Sans" w:hAnsi="Noto Sans" w:cs="Noto Sans"/>
          <w:b/>
          <w:bCs/>
          <w:sz w:val="20"/>
          <w:szCs w:val="20"/>
          <w:lang w:val="es-MX"/>
        </w:rPr>
      </w:pPr>
    </w:p>
    <w:p w14:paraId="399CEDDE" w14:textId="3F77CE2F" w:rsidR="00A67757" w:rsidRPr="00F71168" w:rsidRDefault="00A67757" w:rsidP="002A3AE2">
      <w:pPr>
        <w:ind w:left="698" w:right="-234" w:hanging="840"/>
        <w:jc w:val="both"/>
        <w:rPr>
          <w:rFonts w:ascii="Noto Sans" w:hAnsi="Noto Sans" w:cs="Noto Sans"/>
          <w:b/>
          <w:bCs/>
          <w:sz w:val="20"/>
          <w:szCs w:val="20"/>
          <w:lang w:val="es-MX"/>
        </w:rPr>
      </w:pPr>
      <w:r w:rsidRPr="00F71168">
        <w:rPr>
          <w:rFonts w:ascii="Noto Sans" w:hAnsi="Noto Sans" w:cs="Noto Sans"/>
          <w:b/>
          <w:bCs/>
          <w:sz w:val="20"/>
          <w:szCs w:val="20"/>
          <w:lang w:val="es-MX"/>
        </w:rPr>
        <w:t xml:space="preserve">p) </w:t>
      </w:r>
      <w:r w:rsidR="002A3AE2">
        <w:rPr>
          <w:rFonts w:ascii="Noto Sans" w:hAnsi="Noto Sans" w:cs="Noto Sans"/>
          <w:b/>
          <w:bCs/>
          <w:sz w:val="20"/>
          <w:szCs w:val="20"/>
          <w:lang w:val="es-MX"/>
        </w:rPr>
        <w:tab/>
      </w:r>
      <w:r w:rsidRPr="00F71168">
        <w:rPr>
          <w:rFonts w:ascii="Noto Sans" w:hAnsi="Noto Sans" w:cs="Noto Sans"/>
          <w:b/>
          <w:bCs/>
          <w:sz w:val="20"/>
          <w:szCs w:val="20"/>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D63CDD">
        <w:rPr>
          <w:rFonts w:ascii="Noto Sans" w:hAnsi="Noto Sans" w:cs="Noto Sans"/>
          <w:sz w:val="20"/>
          <w:szCs w:val="20"/>
          <w:lang w:val="es-MX"/>
        </w:rPr>
        <w:t>No aplica.</w:t>
      </w:r>
    </w:p>
    <w:p w14:paraId="545E2B93" w14:textId="77777777" w:rsidR="00A67757" w:rsidRDefault="00A67757" w:rsidP="00A67757">
      <w:pPr>
        <w:spacing w:line="276" w:lineRule="auto"/>
        <w:jc w:val="both"/>
        <w:rPr>
          <w:rFonts w:ascii="Noto Sans" w:hAnsi="Noto Sans" w:cs="Noto Sans"/>
          <w:sz w:val="20"/>
          <w:szCs w:val="20"/>
          <w:lang w:val="es-MX"/>
        </w:rPr>
      </w:pPr>
    </w:p>
    <w:p w14:paraId="5FE40F1E" w14:textId="77777777" w:rsidR="002A3AE2" w:rsidRPr="00D63CDD" w:rsidRDefault="002A3AE2" w:rsidP="00A67757">
      <w:pPr>
        <w:spacing w:line="276" w:lineRule="auto"/>
        <w:jc w:val="both"/>
        <w:rPr>
          <w:rFonts w:ascii="Noto Sans" w:hAnsi="Noto Sans" w:cs="Noto Sans"/>
          <w:sz w:val="20"/>
          <w:szCs w:val="20"/>
          <w:lang w:val="es-MX"/>
        </w:rPr>
      </w:pPr>
    </w:p>
    <w:p w14:paraId="2CD85EB6" w14:textId="0C3015EF" w:rsidR="00D11425" w:rsidRPr="00D63CDD" w:rsidRDefault="00D11425" w:rsidP="00D11425">
      <w:pPr>
        <w:spacing w:line="276" w:lineRule="auto"/>
        <w:jc w:val="both"/>
        <w:rPr>
          <w:rFonts w:ascii="Noto Sans" w:eastAsia="Times New Roman" w:hAnsi="Noto Sans" w:cs="Noto Sans"/>
          <w:sz w:val="20"/>
          <w:szCs w:val="20"/>
          <w:lang w:val="es-MX" w:eastAsia="es-MX"/>
        </w:rPr>
      </w:pPr>
      <w:r w:rsidRPr="00D63CDD">
        <w:rPr>
          <w:rFonts w:ascii="Noto Sans" w:eastAsia="Times New Roman" w:hAnsi="Noto Sans" w:cs="Noto Sans"/>
          <w:sz w:val="20"/>
          <w:szCs w:val="20"/>
          <w:lang w:val="es-MX" w:eastAsia="es-MX"/>
        </w:rPr>
        <w:t>Atentamente,</w:t>
      </w:r>
    </w:p>
    <w:p w14:paraId="03B631E1" w14:textId="77777777" w:rsidR="00D11425" w:rsidRPr="00D63CDD" w:rsidRDefault="00D11425" w:rsidP="00D11425">
      <w:pPr>
        <w:spacing w:line="276" w:lineRule="auto"/>
        <w:jc w:val="both"/>
        <w:rPr>
          <w:rFonts w:ascii="Noto Sans" w:eastAsia="Times New Roman" w:hAnsi="Noto Sans" w:cs="Noto Sans"/>
          <w:sz w:val="20"/>
          <w:szCs w:val="20"/>
          <w:lang w:val="es-MX" w:eastAsia="es-MX"/>
        </w:rPr>
      </w:pPr>
      <w:r w:rsidRPr="00D63CDD">
        <w:rPr>
          <w:rFonts w:ascii="Noto Sans" w:eastAsia="Times New Roman" w:hAnsi="Noto Sans" w:cs="Noto Sans"/>
          <w:sz w:val="20"/>
          <w:szCs w:val="20"/>
          <w:lang w:val="es-MX" w:eastAsia="es-MX"/>
        </w:rPr>
        <w:br/>
      </w:r>
    </w:p>
    <w:p w14:paraId="7FA43C55" w14:textId="77777777" w:rsidR="00D11425" w:rsidRPr="00D63CDD" w:rsidRDefault="00D11425" w:rsidP="00D11425">
      <w:pPr>
        <w:spacing w:line="276" w:lineRule="auto"/>
        <w:jc w:val="both"/>
        <w:rPr>
          <w:rFonts w:ascii="Noto Sans" w:eastAsia="Times New Roman" w:hAnsi="Noto Sans" w:cs="Noto Sans"/>
          <w:sz w:val="20"/>
          <w:szCs w:val="20"/>
          <w:lang w:val="es-MX" w:eastAsia="es-MX"/>
        </w:rPr>
      </w:pPr>
      <w:r w:rsidRPr="00D63CDD">
        <w:rPr>
          <w:rFonts w:ascii="Noto Sans" w:eastAsia="Times New Roman" w:hAnsi="Noto Sans" w:cs="Noto Sans"/>
          <w:b/>
          <w:bCs/>
          <w:sz w:val="20"/>
          <w:szCs w:val="20"/>
          <w:lang w:val="es-MX" w:eastAsia="es-MX"/>
        </w:rPr>
        <w:t>Lic. Jorge Carlos Lizcano Arias</w:t>
      </w:r>
    </w:p>
    <w:p w14:paraId="5AAB808A" w14:textId="77777777" w:rsidR="00D11425" w:rsidRPr="00D63CDD" w:rsidRDefault="00D11425" w:rsidP="00D11425">
      <w:pPr>
        <w:spacing w:line="276" w:lineRule="auto"/>
        <w:jc w:val="both"/>
        <w:rPr>
          <w:rFonts w:ascii="Noto Sans" w:eastAsia="Times New Roman" w:hAnsi="Noto Sans" w:cs="Noto Sans"/>
          <w:sz w:val="20"/>
          <w:szCs w:val="20"/>
          <w:lang w:val="es-MX" w:eastAsia="es-MX"/>
        </w:rPr>
      </w:pPr>
      <w:r w:rsidRPr="00D63CDD">
        <w:rPr>
          <w:rFonts w:ascii="Noto Sans" w:eastAsia="Times New Roman" w:hAnsi="Noto Sans" w:cs="Noto Sans"/>
          <w:sz w:val="20"/>
          <w:szCs w:val="20"/>
          <w:lang w:val="es-MX" w:eastAsia="es-MX"/>
        </w:rPr>
        <w:t>Titular de la Coordinación Técnica de Difusión</w:t>
      </w:r>
    </w:p>
    <w:p w14:paraId="006F0B1F" w14:textId="77777777" w:rsidR="00D11425" w:rsidRPr="00D63CDD" w:rsidRDefault="00D11425" w:rsidP="00D11425">
      <w:pPr>
        <w:spacing w:line="276" w:lineRule="auto"/>
        <w:jc w:val="both"/>
        <w:rPr>
          <w:rFonts w:ascii="Noto Sans" w:eastAsia="Times New Roman" w:hAnsi="Noto Sans" w:cs="Noto Sans"/>
          <w:sz w:val="20"/>
          <w:szCs w:val="20"/>
          <w:lang w:val="es-MX" w:eastAsia="es-MX"/>
        </w:rPr>
      </w:pPr>
      <w:r w:rsidRPr="00D63CDD">
        <w:rPr>
          <w:rFonts w:ascii="Noto Sans" w:eastAsia="Times New Roman" w:hAnsi="Noto Sans" w:cs="Noto Sans"/>
          <w:sz w:val="20"/>
          <w:szCs w:val="20"/>
          <w:lang w:val="es-MX" w:eastAsia="es-MX"/>
        </w:rPr>
        <w:t>y Área Requirente</w:t>
      </w:r>
    </w:p>
    <w:p w14:paraId="720394F0" w14:textId="60848A09" w:rsidR="007C521B" w:rsidRPr="007C521B" w:rsidRDefault="007C521B" w:rsidP="007C521B">
      <w:pPr>
        <w:jc w:val="both"/>
        <w:rPr>
          <w:rFonts w:ascii="Montserrat" w:eastAsia="Times New Roman" w:hAnsi="Montserrat"/>
          <w:bCs/>
          <w:color w:val="000000"/>
          <w:sz w:val="18"/>
          <w:szCs w:val="18"/>
          <w:lang w:val="es-MX" w:eastAsia="es-MX"/>
        </w:rPr>
      </w:pP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p>
    <w:p w14:paraId="15CEE8F0" w14:textId="702650AA" w:rsidR="007C521B" w:rsidRPr="007C521B" w:rsidRDefault="007C521B" w:rsidP="007C521B">
      <w:pPr>
        <w:jc w:val="right"/>
        <w:rPr>
          <w:rFonts w:ascii="Noto Sans" w:eastAsia="Times New Roman" w:hAnsi="Noto Sans" w:cs="Noto Sans"/>
          <w:color w:val="000000"/>
          <w:sz w:val="18"/>
          <w:szCs w:val="18"/>
        </w:rPr>
      </w:pPr>
    </w:p>
    <w:p w14:paraId="24BE1CE5" w14:textId="77777777" w:rsidR="007C521B" w:rsidRDefault="007C521B" w:rsidP="00FA0465">
      <w:pPr>
        <w:tabs>
          <w:tab w:val="left" w:pos="3960"/>
        </w:tabs>
        <w:rPr>
          <w:rFonts w:ascii="Noto Sans" w:hAnsi="Noto Sans" w:cs="Noto Sans"/>
          <w:sz w:val="20"/>
          <w:szCs w:val="20"/>
        </w:rPr>
      </w:pPr>
    </w:p>
    <w:p w14:paraId="014C3DE9" w14:textId="77777777" w:rsidR="002A3AE2" w:rsidRPr="002A3AE2" w:rsidRDefault="002A3AE2" w:rsidP="002A3AE2">
      <w:pPr>
        <w:rPr>
          <w:rFonts w:ascii="Noto Sans" w:hAnsi="Noto Sans" w:cs="Noto Sans"/>
          <w:sz w:val="20"/>
          <w:szCs w:val="20"/>
        </w:rPr>
      </w:pPr>
    </w:p>
    <w:p w14:paraId="5F65EE89" w14:textId="77777777" w:rsidR="002A3AE2" w:rsidRPr="002A3AE2" w:rsidRDefault="002A3AE2" w:rsidP="002A3AE2">
      <w:pPr>
        <w:rPr>
          <w:rFonts w:ascii="Noto Sans" w:hAnsi="Noto Sans" w:cs="Noto Sans"/>
          <w:sz w:val="20"/>
          <w:szCs w:val="20"/>
        </w:rPr>
      </w:pPr>
    </w:p>
    <w:p w14:paraId="256821D6" w14:textId="77777777" w:rsidR="002A3AE2" w:rsidRPr="002A3AE2" w:rsidRDefault="002A3AE2" w:rsidP="002A3AE2">
      <w:pPr>
        <w:rPr>
          <w:rFonts w:ascii="Noto Sans" w:hAnsi="Noto Sans" w:cs="Noto Sans"/>
          <w:sz w:val="20"/>
          <w:szCs w:val="20"/>
        </w:rPr>
      </w:pPr>
    </w:p>
    <w:p w14:paraId="002B33B3" w14:textId="77777777" w:rsidR="002A3AE2" w:rsidRPr="002A3AE2" w:rsidRDefault="002A3AE2" w:rsidP="002A3AE2">
      <w:pPr>
        <w:rPr>
          <w:rFonts w:ascii="Noto Sans" w:hAnsi="Noto Sans" w:cs="Noto Sans"/>
          <w:sz w:val="20"/>
          <w:szCs w:val="20"/>
        </w:rPr>
      </w:pPr>
    </w:p>
    <w:p w14:paraId="66DB6319" w14:textId="77777777" w:rsidR="002A3AE2" w:rsidRPr="002A3AE2" w:rsidRDefault="002A3AE2" w:rsidP="002A3AE2">
      <w:pPr>
        <w:rPr>
          <w:rFonts w:ascii="Noto Sans" w:hAnsi="Noto Sans" w:cs="Noto Sans"/>
          <w:sz w:val="20"/>
          <w:szCs w:val="20"/>
        </w:rPr>
      </w:pPr>
    </w:p>
    <w:p w14:paraId="03514E95" w14:textId="77777777" w:rsidR="002A3AE2" w:rsidRPr="002A3AE2" w:rsidRDefault="002A3AE2" w:rsidP="002A3AE2">
      <w:pPr>
        <w:rPr>
          <w:rFonts w:ascii="Noto Sans" w:hAnsi="Noto Sans" w:cs="Noto Sans"/>
          <w:sz w:val="20"/>
          <w:szCs w:val="20"/>
        </w:rPr>
      </w:pPr>
    </w:p>
    <w:p w14:paraId="7F30FF83" w14:textId="77777777" w:rsidR="002A3AE2" w:rsidRPr="002A3AE2" w:rsidRDefault="002A3AE2" w:rsidP="002A3AE2">
      <w:pPr>
        <w:rPr>
          <w:rFonts w:ascii="Noto Sans" w:hAnsi="Noto Sans" w:cs="Noto Sans"/>
          <w:sz w:val="20"/>
          <w:szCs w:val="20"/>
        </w:rPr>
      </w:pPr>
    </w:p>
    <w:p w14:paraId="173FA1BD" w14:textId="77777777" w:rsidR="002A3AE2" w:rsidRPr="002A3AE2" w:rsidRDefault="002A3AE2" w:rsidP="002A3AE2">
      <w:pPr>
        <w:rPr>
          <w:rFonts w:ascii="Noto Sans" w:hAnsi="Noto Sans" w:cs="Noto Sans"/>
          <w:sz w:val="20"/>
          <w:szCs w:val="20"/>
        </w:rPr>
      </w:pPr>
    </w:p>
    <w:p w14:paraId="686AD600" w14:textId="77777777" w:rsidR="002A3AE2" w:rsidRPr="002A3AE2" w:rsidRDefault="002A3AE2" w:rsidP="002A3AE2">
      <w:pPr>
        <w:rPr>
          <w:rFonts w:ascii="Noto Sans" w:hAnsi="Noto Sans" w:cs="Noto Sans"/>
          <w:sz w:val="20"/>
          <w:szCs w:val="20"/>
        </w:rPr>
      </w:pPr>
    </w:p>
    <w:p w14:paraId="5DAB9C3E" w14:textId="77777777" w:rsidR="002A3AE2" w:rsidRPr="002A3AE2" w:rsidRDefault="002A3AE2" w:rsidP="002A3AE2">
      <w:pPr>
        <w:rPr>
          <w:rFonts w:ascii="Noto Sans" w:hAnsi="Noto Sans" w:cs="Noto Sans"/>
          <w:sz w:val="20"/>
          <w:szCs w:val="20"/>
        </w:rPr>
      </w:pPr>
    </w:p>
    <w:p w14:paraId="5CD1D82E" w14:textId="77777777" w:rsidR="002A3AE2" w:rsidRPr="002A3AE2" w:rsidRDefault="002A3AE2" w:rsidP="002A3AE2">
      <w:pPr>
        <w:rPr>
          <w:rFonts w:ascii="Noto Sans" w:hAnsi="Noto Sans" w:cs="Noto Sans"/>
          <w:sz w:val="20"/>
          <w:szCs w:val="20"/>
        </w:rPr>
      </w:pPr>
    </w:p>
    <w:p w14:paraId="5809AADF" w14:textId="77777777" w:rsidR="002A3AE2" w:rsidRPr="002A3AE2" w:rsidRDefault="002A3AE2" w:rsidP="002A3AE2">
      <w:pPr>
        <w:rPr>
          <w:rFonts w:ascii="Noto Sans" w:hAnsi="Noto Sans" w:cs="Noto Sans"/>
          <w:sz w:val="20"/>
          <w:szCs w:val="20"/>
        </w:rPr>
      </w:pPr>
    </w:p>
    <w:p w14:paraId="73828FF7" w14:textId="77777777" w:rsidR="002A3AE2" w:rsidRPr="002A3AE2" w:rsidRDefault="002A3AE2" w:rsidP="002A3AE2">
      <w:pPr>
        <w:rPr>
          <w:rFonts w:ascii="Noto Sans" w:hAnsi="Noto Sans" w:cs="Noto Sans"/>
          <w:sz w:val="20"/>
          <w:szCs w:val="20"/>
        </w:rPr>
      </w:pPr>
    </w:p>
    <w:p w14:paraId="2CD7D81C" w14:textId="77777777" w:rsidR="002A3AE2" w:rsidRPr="002A3AE2" w:rsidRDefault="002A3AE2" w:rsidP="002A3AE2">
      <w:pPr>
        <w:rPr>
          <w:rFonts w:ascii="Noto Sans" w:hAnsi="Noto Sans" w:cs="Noto Sans"/>
          <w:sz w:val="20"/>
          <w:szCs w:val="20"/>
        </w:rPr>
      </w:pPr>
    </w:p>
    <w:p w14:paraId="2E5F0B21" w14:textId="77777777" w:rsidR="002A3AE2" w:rsidRPr="002A3AE2" w:rsidRDefault="002A3AE2" w:rsidP="002A3AE2">
      <w:pPr>
        <w:rPr>
          <w:rFonts w:ascii="Noto Sans" w:hAnsi="Noto Sans" w:cs="Noto Sans"/>
          <w:sz w:val="20"/>
          <w:szCs w:val="20"/>
        </w:rPr>
      </w:pPr>
    </w:p>
    <w:p w14:paraId="5928AADD" w14:textId="77777777" w:rsidR="002A3AE2" w:rsidRPr="002A3AE2" w:rsidRDefault="002A3AE2" w:rsidP="002A3AE2">
      <w:pPr>
        <w:rPr>
          <w:rFonts w:ascii="Noto Sans" w:hAnsi="Noto Sans" w:cs="Noto Sans"/>
          <w:sz w:val="20"/>
          <w:szCs w:val="20"/>
        </w:rPr>
      </w:pPr>
    </w:p>
    <w:p w14:paraId="2DDB4312" w14:textId="77777777" w:rsidR="002A3AE2" w:rsidRPr="002A3AE2" w:rsidRDefault="002A3AE2" w:rsidP="002A3AE2">
      <w:pPr>
        <w:rPr>
          <w:rFonts w:ascii="Noto Sans" w:hAnsi="Noto Sans" w:cs="Noto Sans"/>
          <w:sz w:val="20"/>
          <w:szCs w:val="20"/>
        </w:rPr>
      </w:pPr>
    </w:p>
    <w:p w14:paraId="18D80393" w14:textId="77777777" w:rsidR="002A3AE2" w:rsidRPr="002A3AE2" w:rsidRDefault="002A3AE2" w:rsidP="002A3AE2">
      <w:pPr>
        <w:rPr>
          <w:rFonts w:ascii="Noto Sans" w:hAnsi="Noto Sans" w:cs="Noto Sans"/>
          <w:sz w:val="20"/>
          <w:szCs w:val="20"/>
        </w:rPr>
      </w:pPr>
    </w:p>
    <w:p w14:paraId="589826A2" w14:textId="77777777" w:rsidR="002A3AE2" w:rsidRPr="002A3AE2" w:rsidRDefault="002A3AE2" w:rsidP="002A3AE2">
      <w:pPr>
        <w:rPr>
          <w:rFonts w:ascii="Noto Sans" w:hAnsi="Noto Sans" w:cs="Noto Sans"/>
          <w:sz w:val="20"/>
          <w:szCs w:val="20"/>
        </w:rPr>
      </w:pPr>
    </w:p>
    <w:p w14:paraId="373B55BC" w14:textId="77777777" w:rsidR="002A3AE2" w:rsidRPr="002A3AE2" w:rsidRDefault="002A3AE2" w:rsidP="002A3AE2">
      <w:pPr>
        <w:rPr>
          <w:rFonts w:ascii="Noto Sans" w:hAnsi="Noto Sans" w:cs="Noto Sans"/>
          <w:sz w:val="20"/>
          <w:szCs w:val="20"/>
        </w:rPr>
      </w:pPr>
    </w:p>
    <w:p w14:paraId="22F260E5" w14:textId="77777777" w:rsidR="002A3AE2" w:rsidRPr="002A3AE2" w:rsidRDefault="002A3AE2" w:rsidP="002A3AE2">
      <w:pPr>
        <w:rPr>
          <w:rFonts w:ascii="Noto Sans" w:hAnsi="Noto Sans" w:cs="Noto Sans"/>
          <w:sz w:val="20"/>
          <w:szCs w:val="20"/>
        </w:rPr>
      </w:pPr>
    </w:p>
    <w:p w14:paraId="77CF3C7A" w14:textId="64501E43" w:rsidR="002A3AE2" w:rsidRPr="002A3AE2" w:rsidRDefault="002A3AE2" w:rsidP="002A3AE2">
      <w:pPr>
        <w:tabs>
          <w:tab w:val="left" w:pos="7957"/>
        </w:tabs>
        <w:rPr>
          <w:rFonts w:ascii="Noto Sans" w:hAnsi="Noto Sans" w:cs="Noto Sans"/>
          <w:sz w:val="20"/>
          <w:szCs w:val="20"/>
        </w:rPr>
      </w:pPr>
      <w:r>
        <w:rPr>
          <w:rFonts w:ascii="Noto Sans" w:hAnsi="Noto Sans" w:cs="Noto Sans"/>
          <w:sz w:val="20"/>
          <w:szCs w:val="20"/>
        </w:rPr>
        <w:tab/>
      </w:r>
    </w:p>
    <w:sectPr w:rsidR="002A3AE2" w:rsidRPr="002A3AE2" w:rsidSect="007D3C77">
      <w:headerReference w:type="default" r:id="rId11"/>
      <w:footerReference w:type="default" r:id="rId12"/>
      <w:pgSz w:w="12240" w:h="15840"/>
      <w:pgMar w:top="2694" w:right="1701"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786CE" w14:textId="77777777" w:rsidR="008D5CA1" w:rsidRDefault="008D5CA1" w:rsidP="00A73D65">
      <w:r>
        <w:separator/>
      </w:r>
    </w:p>
  </w:endnote>
  <w:endnote w:type="continuationSeparator" w:id="0">
    <w:p w14:paraId="50A72BD1" w14:textId="77777777" w:rsidR="008D5CA1" w:rsidRDefault="008D5CA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Noto Sans">
    <w:altName w:val="Calibri"/>
    <w:charset w:val="00"/>
    <w:family w:val="swiss"/>
    <w:pitch w:val="variable"/>
    <w:sig w:usb0="E00082FF" w:usb1="400078FF" w:usb2="00000021" w:usb3="00000000" w:csb0="0000019F" w:csb1="00000000"/>
  </w:font>
  <w:font w:name="Geomanist">
    <w:altName w:val="Calibri"/>
    <w:panose1 w:val="00000000000000000000"/>
    <w:charset w:val="00"/>
    <w:family w:val="modern"/>
    <w:notTrueType/>
    <w:pitch w:val="variable"/>
    <w:sig w:usb0="A000002F" w:usb1="1000004A" w:usb2="00000000" w:usb3="00000000" w:csb0="00000193"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A8025" w14:textId="2B6D2A09" w:rsidR="002A3AE2" w:rsidRPr="00245E29" w:rsidRDefault="009E2C6D" w:rsidP="002A3AE2">
    <w:pPr>
      <w:pStyle w:val="Piedepgina"/>
      <w:jc w:val="right"/>
      <w:rPr>
        <w:rFonts w:asciiTheme="minorHAnsi" w:hAnsiTheme="minorHAnsi"/>
        <w:sz w:val="20"/>
        <w:szCs w:val="20"/>
      </w:rPr>
    </w:pPr>
    <w:r>
      <w:rPr>
        <w:noProof/>
      </w:rPr>
      <w:drawing>
        <wp:anchor distT="0" distB="0" distL="114300" distR="114300" simplePos="0" relativeHeight="251663360" behindDoc="0" locked="0" layoutInCell="1" allowOverlap="1" wp14:anchorId="15F26574" wp14:editId="2085F00F">
          <wp:simplePos x="0" y="0"/>
          <wp:positionH relativeFrom="page">
            <wp:align>left</wp:align>
          </wp:positionH>
          <wp:positionV relativeFrom="paragraph">
            <wp:posOffset>-606743</wp:posOffset>
          </wp:positionV>
          <wp:extent cx="2249805" cy="1392555"/>
          <wp:effectExtent l="0" t="0" r="0" b="0"/>
          <wp:wrapNone/>
          <wp:docPr id="1948064175"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r w:rsidR="000C535C">
      <w:rPr>
        <w:noProof/>
      </w:rPr>
      <mc:AlternateContent>
        <mc:Choice Requires="wps">
          <w:drawing>
            <wp:anchor distT="0" distB="0" distL="114300" distR="114300" simplePos="0" relativeHeight="251662336" behindDoc="0" locked="0" layoutInCell="1" allowOverlap="1" wp14:anchorId="68456B71" wp14:editId="649E933D">
              <wp:simplePos x="0" y="0"/>
              <wp:positionH relativeFrom="page">
                <wp:posOffset>2225040</wp:posOffset>
              </wp:positionH>
              <wp:positionV relativeFrom="paragraph">
                <wp:posOffset>-383685</wp:posOffset>
              </wp:positionV>
              <wp:extent cx="5662930" cy="350084"/>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3500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CBF53" w14:textId="77777777" w:rsidR="000C535C" w:rsidRPr="00C84662" w:rsidRDefault="000C535C" w:rsidP="000C535C">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E14AC17" w14:textId="77777777" w:rsidR="000C535C" w:rsidRPr="00C84662" w:rsidRDefault="000C535C" w:rsidP="000C535C">
                          <w:pPr>
                            <w:spacing w:after="240"/>
                            <w:rPr>
                              <w:rFonts w:ascii="Times New Roman" w:eastAsia="Times New Roman" w:hAnsi="Times New Roman"/>
                              <w:lang w:val="es-MX"/>
                            </w:rPr>
                          </w:pPr>
                        </w:p>
                        <w:p w14:paraId="7A1ADF7E" w14:textId="77777777" w:rsidR="000C535C" w:rsidRPr="00C84662" w:rsidRDefault="000C535C" w:rsidP="000C535C">
                          <w:pPr>
                            <w:rPr>
                              <w:rFonts w:ascii="Times New Roman" w:eastAsia="Times New Roman" w:hAnsi="Times New Roman"/>
                              <w:lang w:val="es-MX"/>
                            </w:rPr>
                          </w:pPr>
                        </w:p>
                        <w:p w14:paraId="73FCEFC3" w14:textId="77777777" w:rsidR="000C535C" w:rsidRDefault="000C535C" w:rsidP="000C535C">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56B71" id="Rectángulo 5" o:spid="_x0000_s1027" style="position:absolute;left:0;text-align:left;margin-left:175.2pt;margin-top:-30.2pt;width:445.9pt;height:27.5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" filled="f" stroked="f">
              <v:textbox inset="2.53958mm,1.2694mm,2.53958mm,1.2694mm">
                <w:txbxContent>
                  <w:p w14:paraId="420CBF53" w14:textId="77777777" w:rsidR="000C535C" w:rsidRPr="00C84662" w:rsidRDefault="000C535C" w:rsidP="000C535C">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7E14AC17" w14:textId="77777777" w:rsidR="000C535C" w:rsidRPr="00C84662" w:rsidRDefault="000C535C" w:rsidP="000C535C">
                    <w:pPr>
                      <w:spacing w:after="240"/>
                      <w:rPr>
                        <w:rFonts w:ascii="Times New Roman" w:eastAsia="Times New Roman" w:hAnsi="Times New Roman"/>
                        <w:lang w:val="es-MX"/>
                      </w:rPr>
                    </w:pPr>
                  </w:p>
                  <w:p w14:paraId="7A1ADF7E" w14:textId="77777777" w:rsidR="000C535C" w:rsidRPr="00C84662" w:rsidRDefault="000C535C" w:rsidP="000C535C">
                    <w:pPr>
                      <w:rPr>
                        <w:rFonts w:ascii="Times New Roman" w:eastAsia="Times New Roman" w:hAnsi="Times New Roman"/>
                        <w:lang w:val="es-MX"/>
                      </w:rPr>
                    </w:pPr>
                  </w:p>
                  <w:p w14:paraId="73FCEFC3" w14:textId="77777777" w:rsidR="000C535C" w:rsidRDefault="000C535C" w:rsidP="000C535C">
                    <w:pPr>
                      <w:textDirection w:val="btLr"/>
                    </w:pPr>
                  </w:p>
                </w:txbxContent>
              </v:textbox>
              <w10:wrap anchorx="page"/>
            </v:rect>
          </w:pict>
        </mc:Fallback>
      </mc:AlternateContent>
    </w:r>
    <w:sdt>
      <w:sdtPr>
        <w:id w:val="1728636285"/>
        <w:docPartObj>
          <w:docPartGallery w:val="Page Numbers (Top of Page)"/>
          <w:docPartUnique/>
        </w:docPartObj>
      </w:sdtPr>
      <w:sdtEndPr>
        <w:rPr>
          <w:rFonts w:asciiTheme="minorHAnsi" w:hAnsiTheme="minorHAnsi"/>
          <w:sz w:val="20"/>
          <w:szCs w:val="20"/>
        </w:rPr>
      </w:sdtEndPr>
      <w:sdtContent>
        <w:r w:rsidR="002A3AE2" w:rsidRPr="00245E29">
          <w:rPr>
            <w:rFonts w:asciiTheme="minorHAnsi" w:hAnsiTheme="minorHAnsi"/>
            <w:sz w:val="20"/>
            <w:szCs w:val="20"/>
          </w:rPr>
          <w:t xml:space="preserve">Página </w:t>
        </w:r>
        <w:r w:rsidR="002A3AE2" w:rsidRPr="00245E29">
          <w:rPr>
            <w:rFonts w:asciiTheme="minorHAnsi" w:hAnsiTheme="minorHAnsi"/>
            <w:b/>
            <w:bCs/>
            <w:sz w:val="20"/>
            <w:szCs w:val="20"/>
          </w:rPr>
          <w:fldChar w:fldCharType="begin"/>
        </w:r>
        <w:r w:rsidR="002A3AE2" w:rsidRPr="00245E29">
          <w:rPr>
            <w:rFonts w:asciiTheme="minorHAnsi" w:hAnsiTheme="minorHAnsi"/>
            <w:b/>
            <w:bCs/>
            <w:sz w:val="20"/>
            <w:szCs w:val="20"/>
          </w:rPr>
          <w:instrText>PAGE</w:instrText>
        </w:r>
        <w:r w:rsidR="002A3AE2" w:rsidRPr="00245E29">
          <w:rPr>
            <w:rFonts w:asciiTheme="minorHAnsi" w:hAnsiTheme="minorHAnsi"/>
            <w:b/>
            <w:bCs/>
            <w:sz w:val="20"/>
            <w:szCs w:val="20"/>
          </w:rPr>
          <w:fldChar w:fldCharType="separate"/>
        </w:r>
        <w:r w:rsidR="002A3AE2">
          <w:rPr>
            <w:rFonts w:asciiTheme="minorHAnsi" w:hAnsiTheme="minorHAnsi"/>
            <w:b/>
            <w:bCs/>
            <w:sz w:val="20"/>
            <w:szCs w:val="20"/>
          </w:rPr>
          <w:t>3</w:t>
        </w:r>
        <w:r w:rsidR="002A3AE2" w:rsidRPr="00245E29">
          <w:rPr>
            <w:rFonts w:asciiTheme="minorHAnsi" w:hAnsiTheme="minorHAnsi"/>
            <w:sz w:val="20"/>
            <w:szCs w:val="20"/>
          </w:rPr>
          <w:fldChar w:fldCharType="end"/>
        </w:r>
        <w:r w:rsidR="002A3AE2" w:rsidRPr="00245E29">
          <w:rPr>
            <w:rFonts w:asciiTheme="minorHAnsi" w:hAnsiTheme="minorHAnsi"/>
            <w:sz w:val="20"/>
            <w:szCs w:val="20"/>
          </w:rPr>
          <w:t xml:space="preserve"> de </w:t>
        </w:r>
        <w:r w:rsidR="002A3AE2" w:rsidRPr="00245E29">
          <w:rPr>
            <w:rFonts w:asciiTheme="minorHAnsi" w:hAnsiTheme="minorHAnsi"/>
            <w:b/>
            <w:bCs/>
            <w:sz w:val="20"/>
            <w:szCs w:val="20"/>
          </w:rPr>
          <w:fldChar w:fldCharType="begin"/>
        </w:r>
        <w:r w:rsidR="002A3AE2" w:rsidRPr="00245E29">
          <w:rPr>
            <w:rFonts w:asciiTheme="minorHAnsi" w:hAnsiTheme="minorHAnsi"/>
            <w:b/>
            <w:bCs/>
            <w:sz w:val="20"/>
            <w:szCs w:val="20"/>
          </w:rPr>
          <w:instrText>NUMPAGES</w:instrText>
        </w:r>
        <w:r w:rsidR="002A3AE2" w:rsidRPr="00245E29">
          <w:rPr>
            <w:rFonts w:asciiTheme="minorHAnsi" w:hAnsiTheme="minorHAnsi"/>
            <w:b/>
            <w:bCs/>
            <w:sz w:val="20"/>
            <w:szCs w:val="20"/>
          </w:rPr>
          <w:fldChar w:fldCharType="separate"/>
        </w:r>
        <w:r w:rsidR="002A3AE2">
          <w:rPr>
            <w:rFonts w:asciiTheme="minorHAnsi" w:hAnsiTheme="minorHAnsi"/>
            <w:b/>
            <w:bCs/>
            <w:sz w:val="20"/>
            <w:szCs w:val="20"/>
          </w:rPr>
          <w:t>14</w:t>
        </w:r>
        <w:r w:rsidR="002A3AE2" w:rsidRPr="00245E29">
          <w:rPr>
            <w:rFonts w:asciiTheme="minorHAnsi" w:hAnsiTheme="minorHAnsi"/>
            <w:sz w:val="20"/>
            <w:szCs w:val="20"/>
          </w:rPr>
          <w:fldChar w:fldCharType="end"/>
        </w:r>
      </w:sdtContent>
    </w:sdt>
  </w:p>
  <w:p w14:paraId="706C822A" w14:textId="77777777" w:rsidR="002A3AE2" w:rsidRDefault="002A3AE2" w:rsidP="002A3AE2">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269A0" w14:textId="77777777" w:rsidR="008D5CA1" w:rsidRDefault="008D5CA1" w:rsidP="00A73D65">
      <w:r>
        <w:separator/>
      </w:r>
    </w:p>
  </w:footnote>
  <w:footnote w:type="continuationSeparator" w:id="0">
    <w:p w14:paraId="32067650" w14:textId="77777777" w:rsidR="008D5CA1" w:rsidRDefault="008D5CA1"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45509552" w:rsidR="00A73D65" w:rsidRDefault="002A3AE2">
    <w:pPr>
      <w:pStyle w:val="Encabezado"/>
    </w:pPr>
    <w:r>
      <w:rPr>
        <w:noProof/>
      </w:rPr>
      <w:drawing>
        <wp:anchor distT="0" distB="0" distL="114300" distR="114300" simplePos="0" relativeHeight="251657216" behindDoc="1" locked="0" layoutInCell="1" allowOverlap="1" wp14:anchorId="097DBCCE" wp14:editId="67D33E6F">
          <wp:simplePos x="0" y="0"/>
          <wp:positionH relativeFrom="column">
            <wp:posOffset>-1076960</wp:posOffset>
          </wp:positionH>
          <wp:positionV relativeFrom="paragraph">
            <wp:posOffset>-440690</wp:posOffset>
          </wp:positionV>
          <wp:extent cx="7761605" cy="10043795"/>
          <wp:effectExtent l="0" t="0" r="0" b="0"/>
          <wp:wrapNone/>
          <wp:docPr id="19537498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r w:rsidR="00D11425" w:rsidRPr="00D11425">
      <w:rPr>
        <w:rFonts w:ascii="Times New Roman" w:eastAsia="Times New Roman" w:hAnsi="Times New Roman"/>
        <w:noProof/>
        <w:lang w:val="es-MX" w:eastAsia="es-MX"/>
      </w:rPr>
      <mc:AlternateContent>
        <mc:Choice Requires="wps">
          <w:drawing>
            <wp:anchor distT="0" distB="0" distL="114300" distR="114300" simplePos="0" relativeHeight="251660288" behindDoc="0" locked="0" layoutInCell="1" allowOverlap="1" wp14:anchorId="714A4589" wp14:editId="07E4CFC4">
              <wp:simplePos x="0" y="0"/>
              <wp:positionH relativeFrom="margin">
                <wp:posOffset>-215380</wp:posOffset>
              </wp:positionH>
              <wp:positionV relativeFrom="paragraph">
                <wp:posOffset>497840</wp:posOffset>
              </wp:positionV>
              <wp:extent cx="5604279" cy="95250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4279" cy="952500"/>
                      </a:xfrm>
                      <a:prstGeom prst="rect">
                        <a:avLst/>
                      </a:prstGeom>
                      <a:noFill/>
                      <a:ln w="9525">
                        <a:noFill/>
                        <a:miter lim="800000"/>
                        <a:headEnd/>
                        <a:tailEnd/>
                      </a:ln>
                    </wps:spPr>
                    <wps:txbx>
                      <w:txbxContent>
                        <w:p w14:paraId="0D172234" w14:textId="004BBD8C" w:rsidR="00D11425" w:rsidRDefault="00D11425" w:rsidP="00D11425">
                          <w:pPr>
                            <w:spacing w:after="40" w:line="220" w:lineRule="exact"/>
                            <w:jc w:val="both"/>
                            <w:rPr>
                              <w:rFonts w:ascii="Noto Sans" w:hAnsi="Noto Sans" w:cs="Noto Sans"/>
                              <w:b/>
                              <w:bCs/>
                              <w:sz w:val="16"/>
                              <w:szCs w:val="16"/>
                            </w:rPr>
                          </w:pPr>
                          <w:r w:rsidRPr="001B361F">
                            <w:rPr>
                              <w:rFonts w:ascii="Noto Sans" w:hAnsi="Noto Sans" w:cs="Noto Sans"/>
                              <w:b/>
                              <w:bCs/>
                              <w:sz w:val="16"/>
                              <w:szCs w:val="16"/>
                            </w:rPr>
                            <w:t>TÉRMINOS Y CONDICIONES GENERALES PARA LA PRESTACIÓN DEL SERVICIO DE DIFUSIÓN DE LAS CAMPAÑAS INSTITUCIONALES 202</w:t>
                          </w:r>
                          <w:r w:rsidR="004F4F07">
                            <w:rPr>
                              <w:rFonts w:ascii="Noto Sans" w:hAnsi="Noto Sans" w:cs="Noto Sans"/>
                              <w:b/>
                              <w:bCs/>
                              <w:sz w:val="16"/>
                              <w:szCs w:val="16"/>
                            </w:rPr>
                            <w:t>6</w:t>
                          </w:r>
                          <w:r w:rsidRPr="001B361F">
                            <w:rPr>
                              <w:rFonts w:ascii="Noto Sans" w:hAnsi="Noto Sans" w:cs="Noto Sans"/>
                              <w:b/>
                              <w:bCs/>
                              <w:sz w:val="16"/>
                              <w:szCs w:val="16"/>
                            </w:rPr>
                            <w:t>, A TRAVÉS DE MEDIOS COMPLEMENTARIOS ELECTRÓNICOS (PRESENCIA DE MARCA EN EVENTOS MASIVOS, SPOTEO EN PANTALLAS DIGITALES, SPOTS DE AUDIO EN ESPACIOS PÚBLICOS Y ANUNCIOS EN CONEXIONES DE DISPOSITIVO MÓVIL, ENTRE OTROS SIMILARES)</w:t>
                          </w:r>
                          <w:r>
                            <w:rPr>
                              <w:rFonts w:ascii="Noto Sans" w:hAnsi="Noto Sans" w:cs="Noto Sans"/>
                              <w:b/>
                              <w:bCs/>
                              <w:sz w:val="16"/>
                              <w:szCs w:val="16"/>
                            </w:rPr>
                            <w:t>.</w:t>
                          </w:r>
                        </w:p>
                        <w:p w14:paraId="4B87DBE3" w14:textId="77777777" w:rsidR="00D11425" w:rsidRDefault="00D11425" w:rsidP="00D11425">
                          <w:pPr>
                            <w:spacing w:after="40" w:line="22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4A4589" id="_x0000_t202" coordsize="21600,21600" o:spt="202" path="m,l,21600r21600,l21600,xe">
              <v:stroke joinstyle="miter"/>
              <v:path gradientshapeok="t" o:connecttype="rect"/>
            </v:shapetype>
            <v:shape id="Cuadro de texto 2" o:spid="_x0000_s1026" type="#_x0000_t202" style="position:absolute;margin-left:-16.95pt;margin-top:39.2pt;width:441.3pt;height: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" filled="f" stroked="f">
              <v:textbox>
                <w:txbxContent>
                  <w:p w14:paraId="0D172234" w14:textId="004BBD8C" w:rsidR="00D11425" w:rsidRDefault="00D11425" w:rsidP="00D11425">
                    <w:pPr>
                      <w:spacing w:after="40" w:line="220" w:lineRule="exact"/>
                      <w:jc w:val="both"/>
                      <w:rPr>
                        <w:rFonts w:ascii="Noto Sans" w:hAnsi="Noto Sans" w:cs="Noto Sans"/>
                        <w:b/>
                        <w:bCs/>
                        <w:sz w:val="16"/>
                        <w:szCs w:val="16"/>
                      </w:rPr>
                    </w:pPr>
                    <w:r w:rsidRPr="001B361F">
                      <w:rPr>
                        <w:rFonts w:ascii="Noto Sans" w:hAnsi="Noto Sans" w:cs="Noto Sans"/>
                        <w:b/>
                        <w:bCs/>
                        <w:sz w:val="16"/>
                        <w:szCs w:val="16"/>
                      </w:rPr>
                      <w:t>TÉRMINOS Y CONDICIONES GENERALES PARA LA PRESTACIÓN DEL SERVICIO DE DIFUSIÓN DE LAS CAMPAÑAS INSTITUCIONALES 202</w:t>
                    </w:r>
                    <w:r w:rsidR="004F4F07">
                      <w:rPr>
                        <w:rFonts w:ascii="Noto Sans" w:hAnsi="Noto Sans" w:cs="Noto Sans"/>
                        <w:b/>
                        <w:bCs/>
                        <w:sz w:val="16"/>
                        <w:szCs w:val="16"/>
                      </w:rPr>
                      <w:t>6</w:t>
                    </w:r>
                    <w:r w:rsidRPr="001B361F">
                      <w:rPr>
                        <w:rFonts w:ascii="Noto Sans" w:hAnsi="Noto Sans" w:cs="Noto Sans"/>
                        <w:b/>
                        <w:bCs/>
                        <w:sz w:val="16"/>
                        <w:szCs w:val="16"/>
                      </w:rPr>
                      <w:t>, A TRAVÉS DE MEDIOS COMPLEMENTARIOS ELECTRÓNICOS (PRESENCIA DE MARCA EN EVENTOS MASIVOS, SPOTEO EN PANTALLAS DIGITALES, SPOTS DE AUDIO EN ESPACIOS PÚBLICOS Y ANUNCIOS EN CONEXIONES DE DISPOSITIVO MÓVIL, ENTRE OTROS SIMILARES)</w:t>
                    </w:r>
                    <w:r>
                      <w:rPr>
                        <w:rFonts w:ascii="Noto Sans" w:hAnsi="Noto Sans" w:cs="Noto Sans"/>
                        <w:b/>
                        <w:bCs/>
                        <w:sz w:val="16"/>
                        <w:szCs w:val="16"/>
                      </w:rPr>
                      <w:t>.</w:t>
                    </w:r>
                  </w:p>
                  <w:p w14:paraId="4B87DBE3" w14:textId="77777777" w:rsidR="00D11425" w:rsidRDefault="00D11425" w:rsidP="00D11425">
                    <w:pPr>
                      <w:spacing w:after="40" w:line="220" w:lineRule="exact"/>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9D031C"/>
    <w:multiLevelType w:val="hybridMultilevel"/>
    <w:tmpl w:val="CD8E631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74CF7237"/>
    <w:multiLevelType w:val="multilevel"/>
    <w:tmpl w:val="D026C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0"/>
    <w:lvlOverride w:ilvl="0">
      <w:lvl w:ilvl="0">
        <w:numFmt w:val="lowerLetter"/>
        <w:lvlText w:val="%1."/>
        <w:lvlJc w:val="left"/>
        <w:rPr>
          <w:b/>
          <w:bCs/>
        </w:rPr>
      </w:lvl>
    </w:lvlOverride>
  </w:num>
  <w:num w:numId="2" w16cid:durableId="456142438">
    <w:abstractNumId w:val="2"/>
  </w:num>
  <w:num w:numId="3" w16cid:durableId="1122575306">
    <w:abstractNumId w:val="3"/>
    <w:lvlOverride w:ilvl="0">
      <w:lvl w:ilvl="0">
        <w:numFmt w:val="lowerLetter"/>
        <w:lvlText w:val="%1."/>
        <w:lvlJc w:val="left"/>
      </w:lvl>
    </w:lvlOverride>
  </w:num>
  <w:num w:numId="4" w16cid:durableId="2038966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87E55"/>
    <w:rsid w:val="00095970"/>
    <w:rsid w:val="000A09C1"/>
    <w:rsid w:val="000A408C"/>
    <w:rsid w:val="000B690D"/>
    <w:rsid w:val="000C535C"/>
    <w:rsid w:val="000D799D"/>
    <w:rsid w:val="000E5D1C"/>
    <w:rsid w:val="000F360F"/>
    <w:rsid w:val="001018D8"/>
    <w:rsid w:val="0010251B"/>
    <w:rsid w:val="00126D67"/>
    <w:rsid w:val="00132439"/>
    <w:rsid w:val="00134EDE"/>
    <w:rsid w:val="00156A3E"/>
    <w:rsid w:val="00161740"/>
    <w:rsid w:val="0016179D"/>
    <w:rsid w:val="0017497E"/>
    <w:rsid w:val="00180A38"/>
    <w:rsid w:val="00184325"/>
    <w:rsid w:val="001D62B8"/>
    <w:rsid w:val="00206F46"/>
    <w:rsid w:val="00227A39"/>
    <w:rsid w:val="00227B33"/>
    <w:rsid w:val="002318AF"/>
    <w:rsid w:val="00245C8E"/>
    <w:rsid w:val="00256B1D"/>
    <w:rsid w:val="00263806"/>
    <w:rsid w:val="002677DC"/>
    <w:rsid w:val="0029542D"/>
    <w:rsid w:val="002A3AE2"/>
    <w:rsid w:val="002A6FFE"/>
    <w:rsid w:val="002B217F"/>
    <w:rsid w:val="002C04FE"/>
    <w:rsid w:val="002E2142"/>
    <w:rsid w:val="002E4953"/>
    <w:rsid w:val="0030476A"/>
    <w:rsid w:val="00330DC8"/>
    <w:rsid w:val="0034181C"/>
    <w:rsid w:val="00363222"/>
    <w:rsid w:val="00370082"/>
    <w:rsid w:val="00370465"/>
    <w:rsid w:val="003B3309"/>
    <w:rsid w:val="003C1621"/>
    <w:rsid w:val="003D416E"/>
    <w:rsid w:val="003E1335"/>
    <w:rsid w:val="00406D03"/>
    <w:rsid w:val="00412C3E"/>
    <w:rsid w:val="00437A51"/>
    <w:rsid w:val="00445398"/>
    <w:rsid w:val="00477F45"/>
    <w:rsid w:val="004A4C4E"/>
    <w:rsid w:val="004B78A9"/>
    <w:rsid w:val="004C1677"/>
    <w:rsid w:val="004C340D"/>
    <w:rsid w:val="004D146C"/>
    <w:rsid w:val="004E0D31"/>
    <w:rsid w:val="004E61F3"/>
    <w:rsid w:val="004F4F07"/>
    <w:rsid w:val="0050162A"/>
    <w:rsid w:val="0052697D"/>
    <w:rsid w:val="005B0815"/>
    <w:rsid w:val="005B6B44"/>
    <w:rsid w:val="005C1A7C"/>
    <w:rsid w:val="005C7CAD"/>
    <w:rsid w:val="005F267A"/>
    <w:rsid w:val="006071FE"/>
    <w:rsid w:val="00626EE3"/>
    <w:rsid w:val="00631824"/>
    <w:rsid w:val="006322C1"/>
    <w:rsid w:val="00676E2A"/>
    <w:rsid w:val="006770F8"/>
    <w:rsid w:val="006A3D09"/>
    <w:rsid w:val="006B77FF"/>
    <w:rsid w:val="006C0425"/>
    <w:rsid w:val="006C3B4E"/>
    <w:rsid w:val="006C5FF5"/>
    <w:rsid w:val="006C69AE"/>
    <w:rsid w:val="006D644F"/>
    <w:rsid w:val="006E0561"/>
    <w:rsid w:val="006E401A"/>
    <w:rsid w:val="00726625"/>
    <w:rsid w:val="00734C42"/>
    <w:rsid w:val="007421E3"/>
    <w:rsid w:val="00751093"/>
    <w:rsid w:val="00765024"/>
    <w:rsid w:val="0078195E"/>
    <w:rsid w:val="007B74AD"/>
    <w:rsid w:val="007C521B"/>
    <w:rsid w:val="007D3C77"/>
    <w:rsid w:val="007D58FF"/>
    <w:rsid w:val="007D77D1"/>
    <w:rsid w:val="007E5888"/>
    <w:rsid w:val="007F1DB3"/>
    <w:rsid w:val="007F5E00"/>
    <w:rsid w:val="00803236"/>
    <w:rsid w:val="00831EE7"/>
    <w:rsid w:val="00834146"/>
    <w:rsid w:val="008346DD"/>
    <w:rsid w:val="0087482E"/>
    <w:rsid w:val="008920C6"/>
    <w:rsid w:val="008B767D"/>
    <w:rsid w:val="008C6014"/>
    <w:rsid w:val="008D5CA1"/>
    <w:rsid w:val="008F2306"/>
    <w:rsid w:val="0090412A"/>
    <w:rsid w:val="009066A7"/>
    <w:rsid w:val="009068C0"/>
    <w:rsid w:val="00907F1C"/>
    <w:rsid w:val="009113DE"/>
    <w:rsid w:val="00924BF6"/>
    <w:rsid w:val="009307EA"/>
    <w:rsid w:val="00931BAF"/>
    <w:rsid w:val="00932C27"/>
    <w:rsid w:val="00937C98"/>
    <w:rsid w:val="00942415"/>
    <w:rsid w:val="00942628"/>
    <w:rsid w:val="009446DD"/>
    <w:rsid w:val="00967785"/>
    <w:rsid w:val="009C12D6"/>
    <w:rsid w:val="009E2C6D"/>
    <w:rsid w:val="009E75CC"/>
    <w:rsid w:val="009F2BA1"/>
    <w:rsid w:val="00A07674"/>
    <w:rsid w:val="00A2518E"/>
    <w:rsid w:val="00A301D7"/>
    <w:rsid w:val="00A53D74"/>
    <w:rsid w:val="00A65FB7"/>
    <w:rsid w:val="00A67757"/>
    <w:rsid w:val="00A73A8C"/>
    <w:rsid w:val="00A73D65"/>
    <w:rsid w:val="00A87250"/>
    <w:rsid w:val="00AA2FAD"/>
    <w:rsid w:val="00AA4AC1"/>
    <w:rsid w:val="00AC0640"/>
    <w:rsid w:val="00AF6CCE"/>
    <w:rsid w:val="00B016E8"/>
    <w:rsid w:val="00B3608B"/>
    <w:rsid w:val="00B72D65"/>
    <w:rsid w:val="00B87C85"/>
    <w:rsid w:val="00BB21A6"/>
    <w:rsid w:val="00BB2DFF"/>
    <w:rsid w:val="00BC169A"/>
    <w:rsid w:val="00BC43BD"/>
    <w:rsid w:val="00BE3BAF"/>
    <w:rsid w:val="00BF29F6"/>
    <w:rsid w:val="00C02E98"/>
    <w:rsid w:val="00C13382"/>
    <w:rsid w:val="00C23B9E"/>
    <w:rsid w:val="00C279A3"/>
    <w:rsid w:val="00C30849"/>
    <w:rsid w:val="00C465FE"/>
    <w:rsid w:val="00C67047"/>
    <w:rsid w:val="00C8003F"/>
    <w:rsid w:val="00C90CED"/>
    <w:rsid w:val="00C918A3"/>
    <w:rsid w:val="00C97E4C"/>
    <w:rsid w:val="00CB7D4F"/>
    <w:rsid w:val="00CE3E99"/>
    <w:rsid w:val="00CF41D4"/>
    <w:rsid w:val="00D11425"/>
    <w:rsid w:val="00D1354D"/>
    <w:rsid w:val="00D20C38"/>
    <w:rsid w:val="00D20E67"/>
    <w:rsid w:val="00D53D98"/>
    <w:rsid w:val="00D57E82"/>
    <w:rsid w:val="00D61FB3"/>
    <w:rsid w:val="00D63CDD"/>
    <w:rsid w:val="00D63FEA"/>
    <w:rsid w:val="00D7195A"/>
    <w:rsid w:val="00D725F4"/>
    <w:rsid w:val="00D84E05"/>
    <w:rsid w:val="00D97FD6"/>
    <w:rsid w:val="00DA037A"/>
    <w:rsid w:val="00DA1B19"/>
    <w:rsid w:val="00DA2650"/>
    <w:rsid w:val="00DB259E"/>
    <w:rsid w:val="00DB53A4"/>
    <w:rsid w:val="00DB7D41"/>
    <w:rsid w:val="00E155A4"/>
    <w:rsid w:val="00E424B6"/>
    <w:rsid w:val="00E61167"/>
    <w:rsid w:val="00E72958"/>
    <w:rsid w:val="00E84E68"/>
    <w:rsid w:val="00E93867"/>
    <w:rsid w:val="00EB407F"/>
    <w:rsid w:val="00EB5E8D"/>
    <w:rsid w:val="00EC1DB9"/>
    <w:rsid w:val="00EC571B"/>
    <w:rsid w:val="00EC7CF4"/>
    <w:rsid w:val="00EE053F"/>
    <w:rsid w:val="00EE05D8"/>
    <w:rsid w:val="00EE1473"/>
    <w:rsid w:val="00EE6B41"/>
    <w:rsid w:val="00F24915"/>
    <w:rsid w:val="00F36B9E"/>
    <w:rsid w:val="00F401F9"/>
    <w:rsid w:val="00F47CDE"/>
    <w:rsid w:val="00F745B2"/>
    <w:rsid w:val="00F77049"/>
    <w:rsid w:val="00F8142D"/>
    <w:rsid w:val="00F945F2"/>
    <w:rsid w:val="00FA0465"/>
    <w:rsid w:val="00FA1218"/>
    <w:rsid w:val="00FA2747"/>
    <w:rsid w:val="00FD754F"/>
    <w:rsid w:val="00FD75E1"/>
    <w:rsid w:val="00FE2ADE"/>
    <w:rsid w:val="00FE3935"/>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7D3C77"/>
    <w:rPr>
      <w:rFonts w:eastAsia="Yu Mincho"/>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31CEAD3-A461-4F84-B8E7-7128103389DD}">
  <ds:schemaRefs>
    <ds:schemaRef ds:uri="http://schemas.openxmlformats.org/officeDocument/2006/bibliography"/>
  </ds:schemaRefs>
</ds:datastoreItem>
</file>

<file path=customXml/itemProps4.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5218</Words>
  <Characters>28078</Characters>
  <Application>Microsoft Office Word</Application>
  <DocSecurity>0</DocSecurity>
  <Lines>850</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2026-01-07T18:29:00Z</cp:lastPrinted>
  <dcterms:created xsi:type="dcterms:W3CDTF">2026-01-08T00:30:00Z</dcterms:created>
  <dcterms:modified xsi:type="dcterms:W3CDTF">2026-01-08T00:30:00Z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